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June 9,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HAGERTY,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908" w:type="dxa"/>
        <w:jc w:val="center"/>
        <w:tblInd w:w="0" w:type="dxa"/>
        <w:tblLayout w:type="fixed"/>
        <w:tblCellMar>
          <w:top w:w="28" w:type="dxa"/>
          <w:left w:w="28" w:type="dxa"/>
          <w:bottom w:w="28" w:type="dxa"/>
          <w:right w:w="28" w:type="dxa"/>
        </w:tblCellMar>
      </w:tblPr>
      <w:tblGrid>
        <w:gridCol w:w="1795"/>
        <w:gridCol w:w="1577"/>
        <w:gridCol w:w="1593"/>
        <w:gridCol w:w="762"/>
        <w:gridCol w:w="762"/>
        <w:gridCol w:w="770"/>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001-40244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86-1213144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121 Drivers Edge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Traverse City, Michigan 49684</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(800) 922-4050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9"/>
        <w:gridCol w:w="1338"/>
        <w:gridCol w:w="1354"/>
        <w:gridCol w:w="109"/>
        <w:gridCol w:w="109"/>
        <w:gridCol w:w="109"/>
        <w:gridCol w:w="519"/>
        <w:gridCol w:w="519"/>
        <w:gridCol w:w="521"/>
        <w:gridCol w:w="109"/>
        <w:gridCol w:w="109"/>
        <w:gridCol w:w="109"/>
        <w:gridCol w:w="1101"/>
        <w:gridCol w:w="1101"/>
        <w:gridCol w:w="1569"/>
      </w:tblGrid>
      <w:tr>
        <w:trPr/>
        <w:tc>
          <w:tcPr>
            <w:tcW w:w="152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4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2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HGTY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Emerging growth company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5.07     Submission of Matters to a Vote of Security Holders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June 9, 2026, Hagerty, Inc. (the "Company") held its 2026 Annual Meeting of Stockholders (the "Annual Meeting"). Holders representing 344,014,725 shares of the Company's common stock were represented in person or by proxy. Votes were cast as follows: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2"/>
        </w:rPr>
        <w:t>Proposal 1:</w:t>
      </w:r>
      <w:r>
        <w:rPr>
          <w:color w:val="000000"/>
        </w:rPr>
        <w:t xml:space="preserve"> </w:t>
      </w:r>
      <w:r>
        <w:rPr>
          <w:rFonts w:ascii="Times New Roman;serif" w:hAnsi="Times New Roman;serif"/>
          <w:b/>
          <w:color w:val="000000"/>
          <w:sz w:val="22"/>
        </w:rPr>
        <w:t>Election of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Each of the following directors received the affirmative vote of a majority of the votes cast at the Annual Meeting at which a quorum was present, and were elected for a one-year term expiring at the Company's 2027 Annual Meeting of Stockholders or until their respective successors are duly elected and qualified.</w:t>
      </w:r>
    </w:p>
    <w:p>
      <w:pPr>
        <w:pStyle w:val="TextBody"/>
        <w:bidi w:val="0"/>
        <w:spacing w:before="0" w:after="0"/>
        <w:jc w:val="left"/>
        <w:rPr/>
      </w:pPr>
      <w:r>
        <w:rPr/>
      </w:r>
    </w:p>
    <w:tbl>
      <w:tblPr>
        <w:tblW w:w="8734" w:type="dxa"/>
        <w:jc w:val="left"/>
        <w:tblInd w:w="0" w:type="dxa"/>
        <w:tblLayout w:type="fixed"/>
        <w:tblCellMar>
          <w:top w:w="28" w:type="dxa"/>
          <w:left w:w="28" w:type="dxa"/>
          <w:bottom w:w="28" w:type="dxa"/>
          <w:right w:w="28" w:type="dxa"/>
        </w:tblCellMar>
      </w:tblPr>
      <w:tblGrid>
        <w:gridCol w:w="705"/>
        <w:gridCol w:w="621"/>
        <w:gridCol w:w="623"/>
        <w:gridCol w:w="109"/>
        <w:gridCol w:w="109"/>
        <w:gridCol w:w="109"/>
        <w:gridCol w:w="494"/>
        <w:gridCol w:w="494"/>
        <w:gridCol w:w="498"/>
        <w:gridCol w:w="109"/>
        <w:gridCol w:w="109"/>
        <w:gridCol w:w="109"/>
        <w:gridCol w:w="393"/>
        <w:gridCol w:w="393"/>
        <w:gridCol w:w="400"/>
        <w:gridCol w:w="109"/>
        <w:gridCol w:w="109"/>
        <w:gridCol w:w="109"/>
        <w:gridCol w:w="285"/>
        <w:gridCol w:w="285"/>
        <w:gridCol w:w="286"/>
        <w:gridCol w:w="109"/>
        <w:gridCol w:w="109"/>
        <w:gridCol w:w="109"/>
        <w:gridCol w:w="570"/>
        <w:gridCol w:w="570"/>
        <w:gridCol w:w="80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Broker Non-Votes</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McKeel Hagerty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2,505,188,888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Swanson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2,504,483,614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2,956,103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Henrik Bjørnstad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2,507,404,629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Randall Harbert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2,505,419,655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2,020,213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Laurie Harris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2,506,875,338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564,532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Robert Kauffman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2,492,617,805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14,822,048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Sabrina Kay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2,506,905,519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534,201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Anthony Kuczinski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2,507,353,115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Mika Salmi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2,507,361,693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9,159,482</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Proposal 2: Advisory Vote to Approve the Compensation of the Company’s Named Executive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stockholders approved, on a non-binding advisory basis, the compensation of the Company’s named executive officers as disclosed in the Company’s proxy statement.</w:t>
      </w:r>
    </w:p>
    <w:p>
      <w:pPr>
        <w:pStyle w:val="TextBody"/>
        <w:bidi w:val="0"/>
        <w:spacing w:before="0" w:after="0"/>
        <w:jc w:val="left"/>
        <w:rPr/>
      </w:pPr>
      <w:r>
        <w:rPr/>
      </w:r>
    </w:p>
    <w:tbl>
      <w:tblPr>
        <w:tblW w:w="6143" w:type="dxa"/>
        <w:jc w:val="center"/>
        <w:tblInd w:w="0" w:type="dxa"/>
        <w:tblLayout w:type="fixed"/>
        <w:tblCellMar>
          <w:top w:w="28" w:type="dxa"/>
          <w:left w:w="28" w:type="dxa"/>
          <w:bottom w:w="28" w:type="dxa"/>
          <w:right w:w="28" w:type="dxa"/>
        </w:tblCellMar>
      </w:tblPr>
      <w:tblGrid>
        <w:gridCol w:w="542"/>
        <w:gridCol w:w="477"/>
        <w:gridCol w:w="482"/>
        <w:gridCol w:w="109"/>
        <w:gridCol w:w="109"/>
        <w:gridCol w:w="109"/>
        <w:gridCol w:w="285"/>
        <w:gridCol w:w="285"/>
        <w:gridCol w:w="286"/>
        <w:gridCol w:w="109"/>
        <w:gridCol w:w="109"/>
        <w:gridCol w:w="109"/>
        <w:gridCol w:w="285"/>
        <w:gridCol w:w="285"/>
        <w:gridCol w:w="286"/>
        <w:gridCol w:w="109"/>
        <w:gridCol w:w="109"/>
        <w:gridCol w:w="109"/>
        <w:gridCol w:w="570"/>
        <w:gridCol w:w="570"/>
        <w:gridCol w:w="809"/>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Broker Non-Votes</w:t>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2,507,357,391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77,827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9,159,482</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Proposal 3: Advisory Vote on the Frequency of Future Advisory Votes on the Compensation of the Company’s Named Executive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stockholders recommended, on a non-binding advisory basis, that future advisory votes on the compensation of the Company’s named executive officers be held every one year.</w:t>
      </w:r>
    </w:p>
    <w:p>
      <w:pPr>
        <w:pStyle w:val="TextBody"/>
        <w:bidi w:val="0"/>
        <w:spacing w:before="0" w:after="0"/>
        <w:jc w:val="left"/>
        <w:rPr/>
      </w:pPr>
      <w:r>
        <w:rPr/>
      </w:r>
    </w:p>
    <w:tbl>
      <w:tblPr>
        <w:tblW w:w="7369" w:type="dxa"/>
        <w:jc w:val="center"/>
        <w:tblInd w:w="0" w:type="dxa"/>
        <w:tblLayout w:type="fixed"/>
        <w:tblCellMar>
          <w:top w:w="28" w:type="dxa"/>
          <w:left w:w="28" w:type="dxa"/>
          <w:bottom w:w="28" w:type="dxa"/>
          <w:right w:w="28" w:type="dxa"/>
        </w:tblCellMar>
      </w:tblPr>
      <w:tblGrid>
        <w:gridCol w:w="543"/>
        <w:gridCol w:w="477"/>
        <w:gridCol w:w="481"/>
        <w:gridCol w:w="109"/>
        <w:gridCol w:w="109"/>
        <w:gridCol w:w="109"/>
        <w:gridCol w:w="289"/>
        <w:gridCol w:w="289"/>
        <w:gridCol w:w="291"/>
        <w:gridCol w:w="109"/>
        <w:gridCol w:w="109"/>
        <w:gridCol w:w="109"/>
        <w:gridCol w:w="294"/>
        <w:gridCol w:w="294"/>
        <w:gridCol w:w="298"/>
        <w:gridCol w:w="109"/>
        <w:gridCol w:w="109"/>
        <w:gridCol w:w="109"/>
        <w:gridCol w:w="285"/>
        <w:gridCol w:w="285"/>
        <w:gridCol w:w="286"/>
        <w:gridCol w:w="109"/>
        <w:gridCol w:w="109"/>
        <w:gridCol w:w="109"/>
        <w:gridCol w:w="570"/>
        <w:gridCol w:w="570"/>
        <w:gridCol w:w="809"/>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Broker Non-Votes</w:t>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2,507,114,658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257,820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9,159,482</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Proposal 4: Ratification of appointment of Deloitte &amp; Touche LLP as the Company's independent registered public accounting firm for the year ending December 31,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stockholders ratified the appointment of Deloitte &amp; Touche LLP as the Company's independent registered public accounting firm for the year ending December 31, 2026.</w:t>
      </w:r>
    </w:p>
    <w:p>
      <w:pPr>
        <w:pStyle w:val="TextBody"/>
        <w:bidi w:val="0"/>
        <w:spacing w:before="0" w:after="0"/>
        <w:jc w:val="left"/>
        <w:rPr/>
      </w:pPr>
      <w:r>
        <w:rPr/>
      </w:r>
    </w:p>
    <w:tbl>
      <w:tblPr>
        <w:tblW w:w="3912" w:type="dxa"/>
        <w:jc w:val="center"/>
        <w:tblInd w:w="0" w:type="dxa"/>
        <w:tblLayout w:type="fixed"/>
        <w:tblCellMar>
          <w:top w:w="28" w:type="dxa"/>
          <w:left w:w="28" w:type="dxa"/>
          <w:bottom w:w="28" w:type="dxa"/>
          <w:right w:w="28" w:type="dxa"/>
        </w:tblCellMar>
      </w:tblPr>
      <w:tblGrid>
        <w:gridCol w:w="542"/>
        <w:gridCol w:w="477"/>
        <w:gridCol w:w="482"/>
        <w:gridCol w:w="109"/>
        <w:gridCol w:w="109"/>
        <w:gridCol w:w="109"/>
        <w:gridCol w:w="285"/>
        <w:gridCol w:w="285"/>
        <w:gridCol w:w="286"/>
        <w:gridCol w:w="109"/>
        <w:gridCol w:w="109"/>
        <w:gridCol w:w="109"/>
        <w:gridCol w:w="264"/>
        <w:gridCol w:w="264"/>
        <w:gridCol w:w="373"/>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Abstain</w:t>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2,516,544,418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18,184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6626"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256"/>
        <w:gridCol w:w="1256"/>
        <w:gridCol w:w="1777"/>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HAGERTY, INC.</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Diana M. Chafey</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June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Diana M. Chafey</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 and Corporate Secretary</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3925</Characters>
  <CharactersWithSpaces>4491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