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312-2_4seq1.xml.htm"/>
      <w:bookmarkStart w:id="1" w:name="kstm2625312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Hagerty Holding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175 WILSON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TRAVERSE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49686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Hagerty, Inc.</w:t>
              </w:r>
            </w:hyperlink>
            <w:r>
              <w:rPr/>
              <w:t xml:space="preserve"> [ </w:t>
            </w:r>
            <w:r>
              <w:rPr>
                <w:rFonts w:ascii="Times;serif" w:hAnsi="Times;serif"/>
                <w:color w:val="0000FF"/>
                <w:sz w:val="24"/>
                <w:shd w:fill="FFFFFF" w:val="clear"/>
              </w:rPr>
              <w:t>HGTY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1135"/>
        <w:gridCol w:w="426"/>
        <w:gridCol w:w="832"/>
        <w:gridCol w:w="1242"/>
        <w:gridCol w:w="962"/>
        <w:gridCol w:w="90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9,250,000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9,250,000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9,250,000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11.472</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1,387,500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1,387,500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1,387,500</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11.472</w:t>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1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1176"/>
        <w:gridCol w:w="831"/>
        <w:gridCol w:w="846"/>
      </w:tblGrid>
      <w:tr>
        <w:trPr>
          <w:tblHeader w:val="true"/>
        </w:trPr>
        <w:tc>
          <w:tcPr>
            <w:tcW w:w="129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V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157,302,156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V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155,914,656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9,250,000 shares of Class A Common Stock were issued to the Reporting Person in exchange for an equal number of Paired Interests (as defined below) that were surrendered by the Reporting Person pursuant to the Amended and Restated Exchange Agreement, dated as of December 2, 2021 and amended and restated as of March 23, 2022 (the "Exchange Agreement"), among the Issuer, The Hagerty Group, LLC ("OpCo"), the Reporting Person, Markel Corporation ("Markel") and each of the Reporting Person's and Markel's Qualified Transferees (as defined therein). Each "Paired Interest" consists of one share of Class V Common Stock of the Issuer and one unit of limited liability company interest of OpCo and may be surrendered by the Reporting Person pursuant to the Exchange Agreement in exchange for a share of Class A Common Stock of the Issuer or, at the option of the Issuer,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1,387,500 shares of Class A Common Stock were issued to the Reporting Person in exchange for an equal number of Paired Interests that were surrendered by the Reporting Person pursuant to the Exchange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Paired Interest has no expiration date and may be surrendered by the Reporting Person pursuant to the Exchange Agreement in exchange for a share of Class A Common Stock of the Issuer or, at the option of the Issuer, cash.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HAGERTY HOLDING CORP. By: /s/ Jessica Sullivan Name: Jessica Sullivan Title: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9295" TargetMode="External"/><Relationship Id="rId5" Type="http://schemas.openxmlformats.org/officeDocument/2006/relationships/hyperlink" Target="http://www.sec.gov/cgi-bin/browse-edgar?action=getcompany&amp;CIK=00018407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860</Words>
  <Characters>4518</Characters>
  <CharactersWithSpaces>5262</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