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1458d8k.htm"/>
      <w:bookmarkStart w:id="1" w:name="ksd7145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September 9,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HAGERTY,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001-40244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86-1213144</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121 Drivers Edge</w:t>
      </w:r>
    </w:p>
    <w:p>
      <w:pPr>
        <w:pStyle w:val="TextBody"/>
        <w:bidi w:val="0"/>
        <w:spacing w:before="0" w:after="0"/>
        <w:jc w:val="center"/>
        <w:rPr>
          <w:rFonts w:ascii="Times New Roman" w:hAnsi="Times New Roman"/>
          <w:b/>
          <w:sz w:val="20"/>
        </w:rPr>
      </w:pPr>
      <w:r>
        <w:rPr>
          <w:rFonts w:ascii="Times New Roman" w:hAnsi="Times New Roman"/>
          <w:b/>
          <w:sz w:val="20"/>
        </w:rPr>
        <w:t>Traverse City, Michigan 49684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00" w:after="0"/>
        <w:jc w:val="center"/>
        <w:rPr>
          <w:rFonts w:ascii="Times New Roman" w:hAnsi="Times New Roman"/>
          <w:b/>
          <w:sz w:val="20"/>
        </w:rPr>
      </w:pPr>
      <w:r>
        <w:rPr>
          <w:rFonts w:ascii="Times New Roman" w:hAnsi="Times New Roman"/>
          <w:b/>
          <w:sz w:val="20"/>
        </w:rPr>
        <w:t>(800) 922-4050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4970"/>
        <w:gridCol w:w="60"/>
        <w:gridCol w:w="710"/>
        <w:gridCol w:w="60"/>
        <w:gridCol w:w="309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HGTY</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30" w:type="dxa"/>
        <w:jc w:val="left"/>
        <w:tblInd w:w="0" w:type="dxa"/>
        <w:tblLayout w:type="fixed"/>
        <w:tblCellMar>
          <w:top w:w="0" w:type="dxa"/>
          <w:left w:w="0" w:type="dxa"/>
          <w:bottom w:w="0" w:type="dxa"/>
          <w:right w:w="0" w:type="dxa"/>
        </w:tblCellMar>
      </w:tblPr>
      <w:tblGrid>
        <w:gridCol w:w="1145"/>
        <w:gridCol w:w="3785"/>
      </w:tblGrid>
      <w:tr>
        <w:trPr/>
        <w:tc>
          <w:tcPr>
            <w:tcW w:w="114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September 9, 2026, Hagerty, Inc. (the “</w:t>
      </w:r>
      <w:r>
        <w:rPr>
          <w:rFonts w:ascii="Times New Roman" w:hAnsi="Times New Roman"/>
          <w:b/>
          <w:i/>
          <w:sz w:val="20"/>
        </w:rPr>
        <w:t>Company</w:t>
      </w:r>
      <w:r>
        <w:rPr>
          <w:rFonts w:ascii="Times New Roman" w:hAnsi="Times New Roman"/>
          <w:sz w:val="20"/>
        </w:rPr>
        <w:t>”), The Hagerty Group, LLC, and Hagerty Holding Corp. (the “</w:t>
      </w:r>
      <w:r>
        <w:rPr>
          <w:rFonts w:ascii="Times New Roman" w:hAnsi="Times New Roman"/>
          <w:b/>
          <w:i/>
          <w:sz w:val="20"/>
        </w:rPr>
        <w:t>Selling Stockholder</w:t>
      </w:r>
      <w:r>
        <w:rPr>
          <w:rFonts w:ascii="Times New Roman" w:hAnsi="Times New Roman"/>
          <w:sz w:val="20"/>
        </w:rPr>
        <w:t>”) entered into an underwriting agreement (the “</w:t>
      </w:r>
      <w:r>
        <w:rPr>
          <w:rFonts w:ascii="Times New Roman" w:hAnsi="Times New Roman"/>
          <w:b/>
          <w:i/>
          <w:sz w:val="20"/>
        </w:rPr>
        <w:t>Underwriting Agreement</w:t>
      </w:r>
      <w:r>
        <w:rPr>
          <w:rFonts w:ascii="Times New Roman" w:hAnsi="Times New Roman"/>
          <w:sz w:val="20"/>
        </w:rPr>
        <w:t>”) with Wells Fargo Securities, LLC and J.P. Morgan Securities LLC as representatives of the several underwriters named therein (collectively, the “</w:t>
      </w:r>
      <w:r>
        <w:rPr>
          <w:rFonts w:ascii="Times New Roman" w:hAnsi="Times New Roman"/>
          <w:b/>
          <w:i/>
          <w:sz w:val="20"/>
        </w:rPr>
        <w:t>Underwriters</w:t>
      </w:r>
      <w:r>
        <w:rPr>
          <w:rFonts w:ascii="Times New Roman" w:hAnsi="Times New Roman"/>
          <w:sz w:val="20"/>
        </w:rPr>
        <w:t>”). Pursuant to the Underwriting Agreement, the Selling Stockholder agreed to sell an aggregate of 9,250,000 shares of the Company’s Class A common stock, par value $0.0001 per share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and granted the Underwriters a 30-day option to purchase up to an additional 1,387,500 shares of Class A Common Stock. The Underwriters exercised the option in full, and an aggregate of 10,637,500 shares of Class A Common Stock (the “</w:t>
      </w:r>
      <w:r>
        <w:rPr>
          <w:rFonts w:ascii="Times New Roman" w:hAnsi="Times New Roman"/>
          <w:b/>
          <w:i/>
          <w:sz w:val="20"/>
        </w:rPr>
        <w:t>Shares</w:t>
      </w:r>
      <w:r>
        <w:rPr>
          <w:rFonts w:ascii="Times New Roman" w:hAnsi="Times New Roman"/>
          <w:sz w:val="20"/>
        </w:rPr>
        <w:t>”) were sold in the offering (the “</w:t>
      </w:r>
      <w:r>
        <w:rPr>
          <w:rFonts w:ascii="Times New Roman" w:hAnsi="Times New Roman"/>
          <w:b/>
          <w:i/>
          <w:sz w:val="20"/>
        </w:rPr>
        <w:t>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an effective registration statement previously filed by the Company with the Securities and Exchange Commission (Registration No. 333-261810), at a public offering price of $11.95 per Share. The Offering closed on September 11, 2026.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of the parties, conditions to closing, and indemnification obligations of the parties. The foregoing description of the Underwriting Agreement is qualified in its entirety by the text of the Underwriting Agreement attached as Exhibit 1.1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of DLA Piper LLP (US) relating to the validity of the Shares sold in the Offering is filed herewith as Exhibit 5.1.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1145"/>
        <w:gridCol w:w="1190"/>
      </w:tblGrid>
      <w:tr>
        <w:trPr/>
        <w:tc>
          <w:tcPr>
            <w:tcW w:w="114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9, 2026, the Company issued a press release announcing the pricing of the Offering. A copy of this press release is attached as Exhibit 99.1 hereto.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1145"/>
        <w:gridCol w:w="2960"/>
      </w:tblGrid>
      <w:tr>
        <w:trPr/>
        <w:tc>
          <w:tcPr>
            <w:tcW w:w="114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1458dex11.htm">
              <w:r>
                <w:rPr>
                  <w:rStyle w:val="InternetLink"/>
                </w:rPr>
                <w:t xml:space="preserve">Underwriting Agreement, dated as of September 9, 2026, by and among Hagerty, Inc., The Hagerty Group, LLC, Hagerty Holding Corp., Wells Fargo Securities, LLC, and J.P. Morgan Securities LLC.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1458dex51.htm">
              <w:r>
                <w:rPr>
                  <w:rStyle w:val="InternetLink"/>
                </w:rPr>
                <w:t xml:space="preserve">Opinion of DLA Piper LLP (US).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1458dex51.htm">
              <w:r>
                <w:rPr>
                  <w:rStyle w:val="InternetLink"/>
                </w:rPr>
                <w:t xml:space="preserve">Consent of DLA Piper LLP (US) (included in Exhibit 5.1).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1458dex991.htm">
              <w:r>
                <w:rPr>
                  <w:rStyle w:val="InternetLink"/>
                </w:rPr>
                <w:t xml:space="preserve">Press release regarding pricing of the Offering.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86" w:type="dxa"/>
        <w:jc w:val="left"/>
        <w:tblInd w:w="0" w:type="dxa"/>
        <w:tblLayout w:type="fixed"/>
        <w:tblCellMar>
          <w:top w:w="0" w:type="dxa"/>
          <w:left w:w="0" w:type="dxa"/>
          <w:bottom w:w="0" w:type="dxa"/>
          <w:right w:w="0" w:type="dxa"/>
        </w:tblCellMar>
      </w:tblPr>
      <w:tblGrid>
        <w:gridCol w:w="2510"/>
        <w:gridCol w:w="60"/>
        <w:gridCol w:w="23"/>
        <w:gridCol w:w="60"/>
        <w:gridCol w:w="23"/>
        <w:gridCol w:w="60"/>
        <w:gridCol w:w="425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b/>
              </w:rPr>
            </w:pPr>
            <w:r>
              <w:rPr>
                <w:b/>
              </w:rPr>
              <w:t>HAGERTY,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Diana M. Chafey</w:t>
            </w:r>
          </w:p>
        </w:tc>
      </w:tr>
      <w:tr>
        <w:trPr/>
        <w:tc>
          <w:tcPr>
            <w:tcW w:w="2510" w:type="dxa"/>
            <w:tcBorders/>
            <w:vAlign w:val="center"/>
          </w:tcPr>
          <w:p>
            <w:pPr>
              <w:pStyle w:val="TableContents"/>
              <w:bidi w:val="0"/>
              <w:spacing w:before="0" w:after="283"/>
              <w:jc w:val="left"/>
              <w:rPr/>
            </w:pPr>
            <w:r>
              <w:rPr/>
              <w:t>Date: September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Diana M. Chafey</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71458dex11.htm"/>
      <w:bookmarkStart w:id="3" w:name="ksd71458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Hagerty, Inc. </w:t>
      </w:r>
    </w:p>
    <w:p>
      <w:pPr>
        <w:pStyle w:val="TextBody"/>
        <w:bidi w:val="0"/>
        <w:spacing w:before="240" w:after="0"/>
        <w:jc w:val="center"/>
        <w:rPr>
          <w:rFonts w:ascii="Times New Roman" w:hAnsi="Times New Roman"/>
          <w:sz w:val="20"/>
        </w:rPr>
      </w:pPr>
      <w:r>
        <w:rPr>
          <w:rFonts w:ascii="Times New Roman" w:hAnsi="Times New Roman"/>
          <w:sz w:val="20"/>
        </w:rPr>
        <w:t xml:space="preserve">9,250,000 Shares of Class A Common Stock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September 9, 2026 </w:t>
      </w:r>
    </w:p>
    <w:p>
      <w:pPr>
        <w:pStyle w:val="TextBody"/>
        <w:bidi w:val="0"/>
        <w:spacing w:before="36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listed in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c/o 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500 West 33rd Street, 14th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36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stockholders named in </w:t>
      </w:r>
      <w:r>
        <w:rPr>
          <w:rFonts w:ascii="Times New Roman" w:hAnsi="Times New Roman"/>
          <w:sz w:val="20"/>
          <w:u w:val="single"/>
        </w:rPr>
        <w:t>Schedule 2</w:t>
      </w:r>
      <w:r>
        <w:rPr>
          <w:rFonts w:ascii="Times New Roman" w:hAnsi="Times New Roman"/>
          <w:sz w:val="20"/>
        </w:rPr>
        <w:t xml:space="preserve"> hereto (each, a “</w:t>
      </w:r>
      <w:r>
        <w:rPr>
          <w:rFonts w:ascii="Times New Roman" w:hAnsi="Times New Roman"/>
          <w:sz w:val="20"/>
          <w:u w:val="single"/>
        </w:rPr>
        <w:t>Selling Stockholder</w:t>
      </w:r>
      <w:r>
        <w:rPr>
          <w:rFonts w:ascii="Times New Roman" w:hAnsi="Times New Roman"/>
          <w:sz w:val="20"/>
        </w:rPr>
        <w:t>” and together, the “</w:t>
      </w:r>
      <w:r>
        <w:rPr>
          <w:rFonts w:ascii="Times New Roman" w:hAnsi="Times New Roman"/>
          <w:sz w:val="20"/>
          <w:u w:val="single"/>
        </w:rPr>
        <w:t>Selling Stockholders</w:t>
      </w:r>
      <w:r>
        <w:rPr>
          <w:rFonts w:ascii="Times New Roman" w:hAnsi="Times New Roman"/>
          <w:sz w:val="20"/>
        </w:rPr>
        <w:t>”) of Hagerty, Inc., a Delaware corporation (the “</w:t>
      </w:r>
      <w:r>
        <w:rPr>
          <w:rFonts w:ascii="Times New Roman" w:hAnsi="Times New Roman"/>
          <w:sz w:val="20"/>
          <w:u w:val="single"/>
        </w:rPr>
        <w:t>Company</w:t>
      </w:r>
      <w:r>
        <w:rPr>
          <w:rFonts w:ascii="Times New Roman" w:hAnsi="Times New Roman"/>
          <w:sz w:val="20"/>
        </w:rPr>
        <w:t xml:space="preserve">”), propose to sell to the several underwriters listed in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sz w:val="20"/>
          <w:u w:val="single"/>
        </w:rPr>
        <w:t>Underwriters</w:t>
      </w:r>
      <w:r>
        <w:rPr>
          <w:rFonts w:ascii="Times New Roman" w:hAnsi="Times New Roman"/>
          <w:sz w:val="20"/>
        </w:rPr>
        <w:t>”), for whom you are acting as representatives (the “</w:t>
      </w:r>
      <w:r>
        <w:rPr>
          <w:rFonts w:ascii="Times New Roman" w:hAnsi="Times New Roman"/>
          <w:sz w:val="20"/>
          <w:u w:val="single"/>
        </w:rPr>
        <w:t>Representatives</w:t>
      </w:r>
      <w:r>
        <w:rPr>
          <w:rFonts w:ascii="Times New Roman" w:hAnsi="Times New Roman"/>
          <w:sz w:val="20"/>
        </w:rPr>
        <w:t>”), an aggregate of 9,250,000 shares of Class A common stock, par value $0.0001 per share (“</w:t>
      </w:r>
      <w:r>
        <w:rPr>
          <w:rFonts w:ascii="Times New Roman" w:hAnsi="Times New Roman"/>
          <w:sz w:val="20"/>
          <w:u w:val="single"/>
        </w:rPr>
        <w:t>Class A Common Stock</w:t>
      </w:r>
      <w:r>
        <w:rPr>
          <w:rFonts w:ascii="Times New Roman" w:hAnsi="Times New Roman"/>
          <w:sz w:val="20"/>
        </w:rPr>
        <w:t>”), of the Company (the “</w:t>
      </w:r>
      <w:r>
        <w:rPr>
          <w:rFonts w:ascii="Times New Roman" w:hAnsi="Times New Roman"/>
          <w:sz w:val="20"/>
          <w:u w:val="single"/>
        </w:rPr>
        <w:t>Underwritten Shares</w:t>
      </w:r>
      <w:r>
        <w:rPr>
          <w:rFonts w:ascii="Times New Roman" w:hAnsi="Times New Roman"/>
          <w:sz w:val="20"/>
        </w:rPr>
        <w:t>”) and, at the option of the Underwriters, up to an additional 1,387,500 shares of Class A Common Stock (the “</w:t>
      </w:r>
      <w:r>
        <w:rPr>
          <w:rFonts w:ascii="Times New Roman" w:hAnsi="Times New Roman"/>
          <w:sz w:val="20"/>
          <w:u w:val="single"/>
        </w:rPr>
        <w:t>Option Shares</w:t>
      </w:r>
      <w:r>
        <w:rPr>
          <w:rFonts w:ascii="Times New Roman" w:hAnsi="Times New Roman"/>
          <w:sz w:val="20"/>
        </w:rPr>
        <w:t>”). The Underwritten Shares and the Option Shares are herein referred to as the “</w:t>
      </w:r>
      <w:r>
        <w:rPr>
          <w:rFonts w:ascii="Times New Roman" w:hAnsi="Times New Roman"/>
          <w:sz w:val="20"/>
          <w:u w:val="single"/>
        </w:rPr>
        <w:t>Shares</w:t>
      </w:r>
      <w:r>
        <w:rPr>
          <w:rFonts w:ascii="Times New Roman" w:hAnsi="Times New Roman"/>
          <w:sz w:val="20"/>
        </w:rPr>
        <w:t>.” The shares of Class A Common Stock of the Company to be outstanding after giving effect to the sale of the Shares are referred to herein as the “</w:t>
      </w:r>
      <w:r>
        <w:rPr>
          <w:rFonts w:ascii="Times New Roman" w:hAnsi="Times New Roman"/>
          <w:sz w:val="20"/>
          <w:u w:val="single"/>
        </w:rPr>
        <w:t>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is the sole managing member of The Hagerty Group, LLC, a Delaware limited liability company (“</w:t>
      </w:r>
      <w:r>
        <w:rPr>
          <w:rFonts w:ascii="Times New Roman" w:hAnsi="Times New Roman"/>
          <w:sz w:val="20"/>
          <w:u w:val="single"/>
        </w:rPr>
        <w:t>THG</w:t>
      </w:r>
      <w:r>
        <w:rPr>
          <w:rFonts w:ascii="Times New Roman" w:hAnsi="Times New Roman"/>
          <w:sz w:val="20"/>
        </w:rPr>
        <w:t>”). The Company is a holding company, with no material assets other than its ownership of THG units and its managing member interest in THG and its operating subsidiaries, through which the Company conducts its business. The Company and THG are each referred to herein as a “</w:t>
      </w:r>
      <w:r>
        <w:rPr>
          <w:rFonts w:ascii="Times New Roman" w:hAnsi="Times New Roman"/>
          <w:sz w:val="20"/>
          <w:u w:val="single"/>
        </w:rPr>
        <w:t>Hagerty Party</w:t>
      </w:r>
      <w:r>
        <w:rPr>
          <w:rFonts w:ascii="Times New Roman" w:hAnsi="Times New Roman"/>
          <w:sz w:val="20"/>
        </w:rPr>
        <w:t>” and, collectively, as the “</w:t>
      </w:r>
      <w:r>
        <w:rPr>
          <w:rFonts w:ascii="Times New Roman" w:hAnsi="Times New Roman"/>
          <w:sz w:val="20"/>
          <w:u w:val="single"/>
        </w:rPr>
        <w:t>Hagerty Parties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Hagerty Parties and the Selling Stockholders, severally and not jointly, hereby confirm their agreement with the several Underwriters concerning the purchase and sale of the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The Company has prepared and filed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and the rules and regulations of the Commission thereunder (collectively, the “</w:t>
      </w:r>
      <w:r>
        <w:rPr>
          <w:rFonts w:ascii="Times New Roman" w:hAnsi="Times New Roman"/>
          <w:sz w:val="20"/>
          <w:u w:val="single"/>
        </w:rPr>
        <w:t>Securities Act</w:t>
      </w:r>
      <w:r>
        <w:rPr>
          <w:rFonts w:ascii="Times New Roman" w:hAnsi="Times New Roman"/>
          <w:sz w:val="20"/>
        </w:rPr>
        <w:t>”), a registration statement on Form S-1, which was converted by post-effective amendments nos. 2 and 3 into a registration statement on Form S-3 (File No. 333-261810),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w:t>
      </w:r>
      <w:r>
        <w:rPr>
          <w:rFonts w:ascii="Times New Roman" w:hAnsi="Times New Roman"/>
          <w:sz w:val="20"/>
          <w:u w:val="single"/>
        </w:rPr>
        <w:t>Rule 430 Information</w:t>
      </w:r>
      <w:r>
        <w:rPr>
          <w:rFonts w:ascii="Times New Roman" w:hAnsi="Times New Roman"/>
          <w:sz w:val="20"/>
        </w:rPr>
        <w:t>”), is referred to herein as the “</w:t>
      </w:r>
      <w:r>
        <w:rPr>
          <w:rFonts w:ascii="Times New Roman" w:hAnsi="Times New Roman"/>
          <w:sz w:val="20"/>
          <w:u w:val="single"/>
        </w:rPr>
        <w:t>Registration Statement</w:t>
      </w:r>
      <w:r>
        <w:rPr>
          <w:rFonts w:ascii="Times New Roman" w:hAnsi="Times New Roman"/>
          <w:sz w:val="20"/>
        </w:rPr>
        <w:t>”; and as used herein, the term “</w:t>
      </w:r>
      <w:r>
        <w:rPr>
          <w:rFonts w:ascii="Times New Roman" w:hAnsi="Times New Roman"/>
          <w:sz w:val="20"/>
          <w:u w:val="single"/>
        </w:rPr>
        <w:t>Preliminary Prospectus</w:t>
      </w:r>
      <w:r>
        <w:rPr>
          <w:rFonts w:ascii="Times New Roman" w:hAnsi="Times New Roman"/>
          <w:sz w:val="20"/>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Times New Roman" w:hAnsi="Times New Roman"/>
          <w:sz w:val="20"/>
          <w:u w:val="single"/>
        </w:rPr>
        <w:t>Prospectus</w:t>
      </w:r>
      <w:r>
        <w:rPr>
          <w:rFonts w:ascii="Times New Roman" w:hAnsi="Times New Roman"/>
          <w:sz w:val="20"/>
        </w:rPr>
        <w:t>”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w:t>
      </w:r>
      <w:r>
        <w:rPr>
          <w:rFonts w:ascii="Times New Roman" w:hAnsi="Times New Roman"/>
          <w:sz w:val="20"/>
          <w:u w:val="single"/>
        </w:rPr>
        <w:t>Rule 462 Registration Statement</w:t>
      </w:r>
      <w:r>
        <w:rPr>
          <w:rFonts w:ascii="Times New Roman" w:hAnsi="Times New Roman"/>
          <w:sz w:val="20"/>
        </w:rPr>
        <w:t>”), then any reference herein to the term “Registration Statement” shall be deemed to include such Rule 462 Registration Statement. Any reference in this underwriting agreement (this “</w:t>
      </w:r>
      <w:r>
        <w:rPr>
          <w:rFonts w:ascii="Times New Roman" w:hAnsi="Times New Roman"/>
          <w:sz w:val="20"/>
          <w:u w:val="single"/>
        </w:rPr>
        <w:t>Agreement</w:t>
      </w:r>
      <w:r>
        <w:rPr>
          <w:rFonts w:ascii="Times New Roman" w:hAnsi="Times New Roman"/>
          <w:sz w:val="20"/>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 w:hAnsi="Times New Roman"/>
          <w:sz w:val="20"/>
          <w:u w:val="single"/>
        </w:rPr>
        <w:t>Exchange Act</w:t>
      </w:r>
      <w:r>
        <w:rPr>
          <w:rFonts w:ascii="Times New Roman" w:hAnsi="Times New Roman"/>
          <w:sz w:val="20"/>
        </w:rPr>
        <w:t xml:space="preserve">”)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w:t>
      </w:r>
      <w:r>
        <w:rPr>
          <w:rFonts w:ascii="Times New Roman" w:hAnsi="Times New Roman"/>
          <w:sz w:val="20"/>
          <w:u w:val="single"/>
        </w:rPr>
        <w:t>Annex A</w:t>
      </w:r>
      <w:r>
        <w:rPr>
          <w:rFonts w:ascii="Times New Roman" w:hAnsi="Times New Roman"/>
          <w:sz w:val="20"/>
        </w:rPr>
        <w:t>, the “</w:t>
      </w:r>
      <w:r>
        <w:rPr>
          <w:rFonts w:ascii="Times New Roman" w:hAnsi="Times New Roman"/>
          <w:sz w:val="20"/>
          <w:u w:val="single"/>
        </w:rPr>
        <w:t>Pricing Disclosure Package</w:t>
      </w:r>
      <w:r>
        <w:rPr>
          <w:rFonts w:ascii="Times New Roman" w:hAnsi="Times New Roman"/>
          <w:sz w:val="20"/>
        </w:rPr>
        <w:t xml:space="preserve">”): a Preliminary Prospectus dated September 9, 2026 and each “free-writing prospectus” (as defined pursuant to Rule 405 under the Securities Act) listed on </w:t>
      </w:r>
      <w:r>
        <w:rPr>
          <w:rFonts w:ascii="Times New Roman" w:hAnsi="Times New Roman"/>
          <w:sz w:val="20"/>
          <w:u w:val="single"/>
        </w:rPr>
        <w:t>Annex A</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Applicable Time</w:t>
      </w:r>
      <w:r>
        <w:rPr>
          <w:rFonts w:ascii="Times New Roman" w:hAnsi="Times New Roman"/>
          <w:sz w:val="20"/>
        </w:rPr>
        <w:t xml:space="preserve">” means 6:45 P.M., New York City time, on September 9,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On the basis of the representations, warranties and agreements set forth herein and subject to the conditions set forth herein, each of the Selling Stockholders agrees, severally and not jointly, to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$11.472 (the “</w:t>
      </w:r>
      <w:r>
        <w:rPr>
          <w:rFonts w:ascii="Times New Roman" w:hAnsi="Times New Roman"/>
          <w:sz w:val="20"/>
          <w:u w:val="single"/>
        </w:rPr>
        <w:t>Purchase Price</w:t>
      </w:r>
      <w:r>
        <w:rPr>
          <w:rFonts w:ascii="Times New Roman" w:hAnsi="Times New Roman"/>
          <w:sz w:val="20"/>
        </w:rPr>
        <w:t xml:space="preserve">”) from the Selling Stockholders the number of Underwritten Shares (to be adjusted by you so as to eliminate fractional shares) determined by multiplying the aggregate number of Underwritten Shares to be sold by each of the Selling Stockholders as set forth opposite their respective names in </w:t>
      </w:r>
      <w:r>
        <w:rPr>
          <w:rFonts w:ascii="Times New Roman" w:hAnsi="Times New Roman"/>
          <w:sz w:val="20"/>
          <w:u w:val="single"/>
        </w:rPr>
        <w:t>Schedule 2</w:t>
      </w:r>
      <w:r>
        <w:rPr>
          <w:rFonts w:ascii="Times New Roman" w:hAnsi="Times New Roman"/>
          <w:sz w:val="20"/>
        </w:rPr>
        <w:t xml:space="preserve"> hereto by a fraction, the numerator of which is the aggregate number of Underwritten Shares to be purchased by such Underwriter as set forth opposite the name of such Underwriter in </w:t>
      </w:r>
      <w:r>
        <w:rPr>
          <w:rFonts w:ascii="Times New Roman" w:hAnsi="Times New Roman"/>
          <w:sz w:val="20"/>
          <w:u w:val="single"/>
        </w:rPr>
        <w:t>Schedule 1</w:t>
      </w:r>
      <w:r>
        <w:rPr>
          <w:rFonts w:ascii="Times New Roman" w:hAnsi="Times New Roman"/>
          <w:sz w:val="20"/>
        </w:rPr>
        <w:t xml:space="preserve"> hereto and the denominator of which is the aggregate number of Underwritten Shares to be purchased by all the Underwriters from all of the Selling Stockholders hereunder. </w:t>
      </w:r>
    </w:p>
    <w:p>
      <w:pPr>
        <w:pStyle w:val="TextBody"/>
        <w:bidi w:val="0"/>
        <w:spacing w:before="120" w:after="0"/>
        <w:jc w:val="left"/>
        <w:rPr>
          <w:rFonts w:ascii="Times New Roman" w:hAnsi="Times New Roman"/>
          <w:sz w:val="20"/>
        </w:rPr>
      </w:pPr>
      <w:r>
        <w:rPr>
          <w:rFonts w:ascii="Times New Roman" w:hAnsi="Times New Roman"/>
          <w:sz w:val="20"/>
        </w:rPr>
        <w:t xml:space="preserve">In addition, on the basis of the representations, warranties and agreements set forth herein and subject to the conditions set forth herein, each of the Selling Stockholders agrees, severally and not jointly, as and to the extent indicated in </w:t>
      </w:r>
      <w:r>
        <w:rPr>
          <w:rFonts w:ascii="Times New Roman" w:hAnsi="Times New Roman"/>
          <w:sz w:val="20"/>
          <w:u w:val="single"/>
        </w:rPr>
        <w:t>Schedule 2</w:t>
      </w:r>
      <w:r>
        <w:rPr>
          <w:rFonts w:ascii="Times New Roman" w:hAnsi="Times New Roman"/>
          <w:sz w:val="20"/>
        </w:rPr>
        <w:t xml:space="preserve">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Selling Stockholders the Option Shares at the Purchase Price less an amount per share equal to any dividends or distributions declared by the Company and payable on the Underwritten Shares but not payable on the Option Shares. </w:t>
      </w:r>
    </w:p>
    <w:p>
      <w:pPr>
        <w:pStyle w:val="TextBody"/>
        <w:bidi w:val="0"/>
        <w:spacing w:before="120" w:after="0"/>
        <w:jc w:val="left"/>
        <w:rPr>
          <w:rFonts w:ascii="Times New Roman" w:hAnsi="Times New Roman"/>
          <w:sz w:val="20"/>
        </w:rPr>
      </w:pPr>
      <w:r>
        <w:rPr>
          <w:rFonts w:ascii="Times New Roman" w:hAnsi="Times New Roman"/>
          <w:sz w:val="20"/>
        </w:rPr>
        <w:t xml:space="preserve">If any Option Shares are to be purchased, the number of Option Shares to be purchased by each Underwriter from the Selling Stockholders shall be the number of Option Shares which bears the same ratio to the aggregate number of Option Shares being purchased as the number of Underwritten Shares set forth opposite the name of such Underwriter in </w:t>
      </w:r>
      <w:r>
        <w:rPr>
          <w:rFonts w:ascii="Times New Roman" w:hAnsi="Times New Roman"/>
          <w:sz w:val="20"/>
          <w:u w:val="single"/>
        </w:rPr>
        <w:t>Schedule 1</w:t>
      </w:r>
      <w:r>
        <w:rPr>
          <w:rFonts w:ascii="Times New Roman" w:hAnsi="Times New Roman"/>
          <w:sz w:val="20"/>
        </w:rPr>
        <w:t xml:space="preserve"> hereto (or such number increased as set forth in </w:t>
      </w:r>
      <w:r>
        <w:rPr>
          <w:rFonts w:ascii="Times New Roman" w:hAnsi="Times New Roman"/>
          <w:sz w:val="20"/>
          <w:u w:val="single"/>
        </w:rPr>
        <w:t>Section 12</w:t>
      </w:r>
      <w:r>
        <w:rPr>
          <w:rFonts w:ascii="Times New Roman" w:hAnsi="Times New Roman"/>
          <w:sz w:val="20"/>
        </w:rPr>
        <w:t xml:space="preserve"> hereof) bears to the aggregate number of Underwritten Shares being purchased from the Selling Stockholders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each Selling Stockholder as set forth in </w:t>
      </w:r>
      <w:r>
        <w:rPr>
          <w:rFonts w:ascii="Times New Roman" w:hAnsi="Times New Roman"/>
          <w:sz w:val="20"/>
          <w:u w:val="single"/>
        </w:rPr>
        <w:t>Schedule 2</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may exercise the option to purchase Option Shares at any time in whole, or from time to time in part, on or before the thirtieth day following the date of the Prospectus, by written notice from the Representatives to the Selling Stockholders.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w:t>
      </w:r>
      <w:r>
        <w:rPr>
          <w:rFonts w:ascii="Times New Roman" w:hAnsi="Times New Roman"/>
          <w:sz w:val="20"/>
          <w:u w:val="single"/>
        </w:rPr>
        <w:t>Section 12</w:t>
      </w:r>
      <w:r>
        <w:rPr>
          <w:rFonts w:ascii="Times New Roman" w:hAnsi="Times New Roman"/>
          <w:sz w:val="20"/>
        </w:rPr>
        <w:t xml:space="preserve"> hereof). Any such notice shall be given at least two business days prior to the date and time of delivery specified therein, except to the extent that the date on which the Option Shares are to be delivered is the same date as the Closing Date, in which case such notice may be delivered one business day prior to the date and time of delivery specified therein.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 </w:t>
      </w:r>
    </w:p>
    <w:p>
      <w:pPr>
        <w:pStyle w:val="TextBody"/>
        <w:bidi w:val="0"/>
        <w:spacing w:before="120" w:after="0"/>
        <w:jc w:val="left"/>
        <w:rPr>
          <w:rFonts w:ascii="Times New Roman" w:hAnsi="Times New Roman"/>
          <w:sz w:val="20"/>
        </w:rPr>
      </w:pPr>
      <w:r>
        <w:rPr>
          <w:rFonts w:ascii="Times New Roman" w:hAnsi="Times New Roman"/>
          <w:sz w:val="20"/>
        </w:rPr>
        <w:t>(c) Payment for the Shares shall be made by wire transfer in immediately available funds to the accounts specified by each of the Selling Stockholders, to the Representatives, on behalf of the Underwriters, in the case of the Underwritten Shares, at the offices of Skadden, Arps, Slate, Meagher &amp; Flom LLP, One Manhattan West, New York, New York 10001 at 10:00 A.M., New York City time, on September 11, 2026, or at such other time or place on the same or such other date, not later than the fifth business day thereafter, as the Representatives and the Selling Stockholders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w:t>
      </w:r>
      <w:r>
        <w:rPr>
          <w:rFonts w:ascii="Times New Roman" w:hAnsi="Times New Roman"/>
          <w:sz w:val="20"/>
          <w:u w:val="single"/>
        </w:rPr>
        <w:t>Closing Date</w:t>
      </w:r>
      <w:r>
        <w:rPr>
          <w:rFonts w:ascii="Times New Roman" w:hAnsi="Times New Roman"/>
          <w:sz w:val="20"/>
        </w:rPr>
        <w:t>,” and the time and date for such payment for the Option Shares, if other than the Closing Date, is herein referred to as the “</w:t>
      </w:r>
      <w:r>
        <w:rPr>
          <w:rFonts w:ascii="Times New Roman" w:hAnsi="Times New Roman"/>
          <w:sz w:val="20"/>
          <w:u w:val="single"/>
        </w:rPr>
        <w:t>Additional Closing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Payment for the Shares to be purchased on the Closing Date or the Additional Closing Date, as the case may be, shall be made against delivery to the Representatives for the respective accounts of the several Underwriters of the Shares to be purchased on the Closing Date or the Additional Closing Date, as the case may be, with any transfer taxes payable in connection with the sale of such Shares duly paid by the Selling Stockholders. Delivery of the Shares shall be made through the facilities of The Depository Trust Company (“</w:t>
      </w:r>
      <w:r>
        <w:rPr>
          <w:rFonts w:ascii="Times New Roman" w:hAnsi="Times New Roman"/>
          <w:sz w:val="20"/>
          <w:u w:val="single"/>
        </w:rPr>
        <w:t>DTC</w:t>
      </w:r>
      <w:r>
        <w:rPr>
          <w:rFonts w:ascii="Times New Roman" w:hAnsi="Times New Roman"/>
          <w:sz w:val="20"/>
        </w:rPr>
        <w:t xml:space="preserve">”) unless the Representatives shall otherwise instruct. </w:t>
      </w:r>
    </w:p>
    <w:p>
      <w:pPr>
        <w:pStyle w:val="TextBody"/>
        <w:bidi w:val="0"/>
        <w:spacing w:before="120" w:after="0"/>
        <w:jc w:val="left"/>
        <w:rPr>
          <w:rFonts w:ascii="Times New Roman" w:hAnsi="Times New Roman"/>
          <w:sz w:val="20"/>
        </w:rPr>
      </w:pPr>
      <w:r>
        <w:rPr>
          <w:rFonts w:ascii="Times New Roman" w:hAnsi="Times New Roman"/>
          <w:sz w:val="20"/>
        </w:rPr>
        <w:t xml:space="preserve">(d) Each of the Hagerty Parties and each Selling Stockholder acknowledges and agrees that the Representatives and the other Underwriters are acting solely in the capacity of an arm’s length contractual counterparty to the Hagerty Parties and the Selling Stockholders with respect to the offering of Shares contemplated hereby (including in connection with determining the terms of the offering) and not as a financial advisor or a fiduciary to, or an agent of, the Hagerty Parties, the Selling Stockholders or any other person. Additionally, neither the Representatives nor any other Underwriter are advising the Hagerty Parties, the Selling Stockholders or any other person as to any legal, tax, investment, accounting or regulatory matters in any jurisdiction. The Hagerty Parties and the Selling Stockholders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Hagerty Parties or the Selling Stockholders with respect thereto. Any review by the Representatives and the other Underwriters of the Hagerty Parties, the transactions contemplated hereby or other matters relating to such transactions will be performed solely for the benefit of the Representatives and the other Underwriters and shall not be on behalf of the Hagerty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or the Selling Stockholders. Moreover, each Selling Stockholder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Hagerty Parties</w:t>
      </w:r>
      <w:r>
        <w:rPr>
          <w:rFonts w:ascii="Times New Roman" w:hAnsi="Times New Roman"/>
          <w:sz w:val="20"/>
        </w:rPr>
        <w:t xml:space="preserve">. Each Hagerty Party represents and warrants to each Underwriter and the Selling Stockholders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Hagerty Parties make no representation or warranty with respect to any statements or omissions made in reliance upon and in conformity with information relating to an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w:t>
      </w:r>
      <w:r>
        <w:rPr>
          <w:rFonts w:ascii="Times New Roman" w:hAnsi="Times New Roman"/>
          <w:sz w:val="20"/>
          <w:u w:val="single"/>
        </w:rPr>
        <w:t>Section 9(c)</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Pricing Disclosure Package</w:t>
      </w:r>
      <w:r>
        <w:rPr>
          <w:rFonts w:ascii="Times New Roman" w:hAnsi="Times New Roman"/>
          <w:sz w:val="20"/>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Hagerty Parties make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w:t>
      </w:r>
      <w:r>
        <w:rPr>
          <w:rFonts w:ascii="Times New Roman" w:hAnsi="Times New Roman"/>
          <w:sz w:val="20"/>
          <w:u w:val="single"/>
        </w:rPr>
        <w:t>Section 9(c)</w:t>
      </w:r>
      <w:r>
        <w:rPr>
          <w:rFonts w:ascii="Times New Roman" w:hAnsi="Times New Roman"/>
          <w:sz w:val="20"/>
        </w:rPr>
        <w:t xml:space="preserve">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Issuer Free Writing Prospectus</w:t>
      </w:r>
      <w:r>
        <w:rPr>
          <w:rFonts w:ascii="Times New Roman" w:hAnsi="Times New Roman"/>
          <w:sz w:val="20"/>
        </w:rPr>
        <w:t xml:space="preserve">. 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Shares (each such communication by the Company or its agents and representatives (other than a communication referred to in clause (i) below) an “</w:t>
      </w:r>
      <w:r>
        <w:rPr>
          <w:rFonts w:ascii="Times New Roman" w:hAnsi="Times New Roman"/>
          <w:sz w:val="20"/>
          <w:u w:val="single"/>
        </w:rPr>
        <w:t>Issuer Free Writing Prospectus</w:t>
      </w:r>
      <w:r>
        <w:rPr>
          <w:rFonts w:ascii="Times New Roman" w:hAnsi="Times New Roman"/>
          <w:sz w:val="20"/>
        </w:rPr>
        <w:t xml:space="preserve">”) other than (i) any document not constituting a prospectus pursuant to Section 2(a)(10)(a) of the Securities Act or Rule 134 under the Securities Act or (ii) the documents listed on </w:t>
      </w:r>
      <w:r>
        <w:rPr>
          <w:rFonts w:ascii="Times New Roman" w:hAnsi="Times New Roman"/>
          <w:sz w:val="20"/>
          <w:u w:val="single"/>
        </w:rPr>
        <w:t>Annex A</w:t>
      </w:r>
      <w:r>
        <w:rPr>
          <w:rFonts w:ascii="Times New Roman" w:hAnsi="Times New Roman"/>
          <w:sz w:val="20"/>
        </w:rPr>
        <w:t xml:space="preserve">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under the Securities Act)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Hagerty Parties make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w:t>
      </w:r>
      <w:r>
        <w:rPr>
          <w:rFonts w:ascii="Times New Roman" w:hAnsi="Times New Roman"/>
          <w:sz w:val="20"/>
          <w:u w:val="single"/>
        </w:rPr>
        <w:t>Section 9(c)</w:t>
      </w:r>
      <w:r>
        <w:rPr>
          <w:rFonts w:ascii="Times New Roman" w:hAnsi="Times New Roman"/>
          <w:sz w:val="20"/>
        </w:rPr>
        <w:t xml:space="preserve"> hereof. </w:t>
      </w:r>
    </w:p>
    <w:p>
      <w:pPr>
        <w:pStyle w:val="TextBody"/>
        <w:bidi w:val="0"/>
        <w:spacing w:before="120" w:after="0"/>
        <w:jc w:val="left"/>
        <w:rPr>
          <w:rFonts w:ascii="Times New Roman" w:hAnsi="Times New Roman"/>
          <w:i/>
          <w:sz w:val="20"/>
        </w:rPr>
      </w:pPr>
      <w:r>
        <w:rPr>
          <w:rFonts w:ascii="Times New Roman" w:hAnsi="Times New Roman"/>
          <w:i/>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Registration Statement and Prospectus</w:t>
      </w:r>
      <w:r>
        <w:rPr>
          <w:rFonts w:ascii="Times New Roman" w:hAnsi="Times New Roman"/>
          <w:sz w:val="20"/>
        </w:rPr>
        <w:t xml:space="preserve">. The Registration Statement has become effective with the 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Hagerty Parties make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w:t>
      </w:r>
      <w:r>
        <w:rPr>
          <w:rFonts w:ascii="Times New Roman" w:hAnsi="Times New Roman"/>
          <w:sz w:val="20"/>
          <w:u w:val="single"/>
        </w:rPr>
        <w:t>Section 9(c)</w:t>
      </w:r>
      <w:r>
        <w:rPr>
          <w:rFonts w:ascii="Times New Roman" w:hAnsi="Times New Roman"/>
          <w:sz w:val="20"/>
        </w:rPr>
        <w:t xml:space="preserv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Incorporated Documents</w:t>
      </w:r>
      <w:r>
        <w:rPr>
          <w:rFonts w:ascii="Times New Roman" w:hAnsi="Times New Roman"/>
          <w:sz w:val="20"/>
        </w:rPr>
        <w:t xml:space="preserve">. The documents incorporated by reference in the Registration Statement, the 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Financial Statements</w:t>
      </w:r>
      <w:r>
        <w:rPr>
          <w:rFonts w:ascii="Times New Roman" w:hAnsi="Times New Roman"/>
          <w:sz w:val="20"/>
        </w:rPr>
        <w:t>. The financial statements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throughout the periods covered thereby, and any supporting schedules included or incorporated by reference in the Registration Statement present fairly in all material respects the information required to be stated therein; the other financial information included or incorporated by reference in the Registration Statement, the Pricing Disclosure Package and the Prospectus has been derived from the accounting records of the Hagerty Parties and their consolidated subsidiaries and presents fairly in all material respects the information shown thereby; and all disclosures included or incorporated by reference in the Registration Statement, the Pricing Disclosure Package and the Prospectus regarding “non-GAAP financial measures” (as such term is defined by the rules and regulations of Commission) comply in all material respects with Regulation G of the Exchange Act and Item 10 of Regulation S-K of the Securities Act,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Material Adverse Change</w:t>
      </w:r>
      <w:r>
        <w:rPr>
          <w:rFonts w:ascii="Times New Roman" w:hAnsi="Times New Roman"/>
          <w:sz w:val="20"/>
        </w:rPr>
        <w:t xml:space="preserve">. Since the date of the most recent financial statements of the Company included or incorporated by reference in the Registration Statement, the Pricing Disclosure Package and the Prospectus, (i) there has not been any change in the capital stock (other than the issuance of shares of Class A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either Hagerty Party or any of their subsidiaries, or any dividend or distribution of any kind declared, set aside for payment, paid or made by any Hagerty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Hagerty Parties and their subsidiaries taken as a whole; (ii) neither the Hagerty Parties nor any of their subsidiaries have entered into any transaction or agreement (whether or not in the ordinary course of business) that is material to the Hagerty Parties and their subsidiaries taken as a whole or incurred any liability or obligation, direct or contingent, that is material to the Hagerty Parties and their subsidiaries taken as a whole; and (iii) neither the Hagerty Parties nor any of their subsidiaries has sustained any loss or interference with its business that is material to the Hagerty Parties and their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Organization and Good Standing</w:t>
      </w:r>
      <w:r>
        <w:rPr>
          <w:rFonts w:ascii="Times New Roman" w:hAnsi="Times New Roman"/>
          <w:sz w:val="20"/>
        </w:rPr>
        <w:t>. Each Hagerty Party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Hagerty Parties and their subsidiaries taken as a whole or on the performance by the Hagerty Parties of their obligations under this Agreement (a “</w:t>
      </w:r>
      <w:r>
        <w:rPr>
          <w:rFonts w:ascii="Times New Roman" w:hAnsi="Times New Roman"/>
          <w:sz w:val="20"/>
          <w:u w:val="single"/>
        </w:rPr>
        <w:t>Material Adverse Effect</w:t>
      </w:r>
      <w:r>
        <w:rPr>
          <w:rFonts w:ascii="Times New Roman" w:hAnsi="Times New Roman"/>
          <w:sz w:val="20"/>
        </w:rPr>
        <w:t xml:space="preserve">”). The Company does not own or control, directly or indirectly, any corporation, association or other entity other than the subsidiaries listed in Exhibit 21 to the Company’s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Capitalization</w:t>
      </w:r>
      <w:r>
        <w:rPr>
          <w:rFonts w:ascii="Times New Roman" w:hAnsi="Times New Roman"/>
          <w:sz w:val="20"/>
        </w:rPr>
        <w:t xml:space="preserve">. The Company has an authorized capitalization as set forth in the Registration Statement, the Pricing Disclosure Package and the Prospectus;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any Hagerty Party or any of its subsidiaries, or any contract, commitment, agreement, understanding or arrangement of any kind relating to the issuance of any capital stock of any such Hagerty Party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capital stock or other equity interests of each subsidiary owned, directly or indirectly, by each Hagerty Party has been duly and validly authorized and issued, are fully paid and non-assessable and are owned directly or indirectly by the Hagerty Parties, free and clear of any lien, charge, encumbrance, security interest, restriction on voting or transfer or any other claim of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Stock Awards</w:t>
      </w:r>
      <w:r>
        <w:rPr>
          <w:rFonts w:ascii="Times New Roman" w:hAnsi="Times New Roman"/>
          <w:sz w:val="20"/>
        </w:rPr>
        <w:t>. With respect to the outstanding awards (the “</w:t>
      </w:r>
      <w:r>
        <w:rPr>
          <w:rFonts w:ascii="Times New Roman" w:hAnsi="Times New Roman"/>
          <w:sz w:val="20"/>
          <w:u w:val="single"/>
        </w:rPr>
        <w:t>Stock Awards</w:t>
      </w:r>
      <w:r>
        <w:rPr>
          <w:rFonts w:ascii="Times New Roman" w:hAnsi="Times New Roman"/>
          <w:sz w:val="20"/>
        </w:rPr>
        <w:t>”) granted pursuant to the stock-based compensation plans and incentive plans of the Company and its subsidiaries (collectively, the “</w:t>
      </w:r>
      <w:r>
        <w:rPr>
          <w:rFonts w:ascii="Times New Roman" w:hAnsi="Times New Roman"/>
          <w:sz w:val="20"/>
          <w:u w:val="single"/>
        </w:rPr>
        <w:t>Company Stock Plans</w:t>
      </w:r>
      <w:r>
        <w:rPr>
          <w:rFonts w:ascii="Times New Roman" w:hAnsi="Times New Roman"/>
          <w:sz w:val="20"/>
        </w:rPr>
        <w:t xml:space="preserve">”) (i) each Stock Option intended to qualify as an “incentive stock option” under Section 422 of the Code so qualifies, (ii) each grant of a Stock Award was duly authorized no later than the date on which the grant of such Stock Award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New York Stock Exchange and any other exchange on which Company securities are traded, and (iv)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Awards prior to, or otherwise coordinating the grant of Stock Awards with, the release or other public announcement of material information regarding the Company or its subsidiaries or their results of operations or prospects.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Due Authorization</w:t>
      </w:r>
      <w:r>
        <w:rPr>
          <w:rFonts w:ascii="Times New Roman" w:hAnsi="Times New Roman"/>
          <w:sz w:val="20"/>
        </w:rPr>
        <w:t xml:space="preserve">. Each Hagerty Party has full corporate or limited liability company, as applicable, right, power and authority to execute and deliver this Agreement, and to perform its obligations hereunder; and all corporate or limited liability company, as applicable, action required to be taken by each Hagerty Party for the due and proper authorization, execution and delivery by it of this Agreement and the consummation by it of the transactions contemplated 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Underwriting Agreement</w:t>
      </w:r>
      <w:r>
        <w:rPr>
          <w:rFonts w:ascii="Times New Roman" w:hAnsi="Times New Roman"/>
          <w:sz w:val="20"/>
        </w:rPr>
        <w:t xml:space="preserve">. This Agreement has been duly authorized, executed and delivered by each Hagerty Party.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Descriptions of the Underwriting Agreement</w:t>
      </w:r>
      <w:r>
        <w:rPr>
          <w:rFonts w:ascii="Times New Roman" w:hAnsi="Times New Roman"/>
          <w:sz w:val="20"/>
        </w:rPr>
        <w:t xml:space="preserve">. This Agreement conforms in all material respects to the description thereof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No Violation or Default</w:t>
      </w:r>
      <w:r>
        <w:rPr>
          <w:rFonts w:ascii="Times New Roman" w:hAnsi="Times New Roman"/>
          <w:sz w:val="20"/>
        </w:rPr>
        <w:t xml:space="preserve">. Neither of the Hagerty Parties nor any of their subsidiaries is (i) in violation of its charter or by-laws or similar organizational documents; (ii) in default, and no event has occurred that, with notice or lapse of time or both, would constitute such a default, in the due performance or observance of any term,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covenant or condition contained in any indenture, mortgage, deed of trust, loan agreement or other agreement or instrument to which any Hagerty Party or any of its subsidiaries is a party or by which any Hagerty Party or any of its subsidiaries is bound or to which any property or asset of any Hagerty Party or any of its subsidiaries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No Conflicts</w:t>
      </w:r>
      <w:r>
        <w:rPr>
          <w:rFonts w:ascii="Times New Roman" w:hAnsi="Times New Roman"/>
          <w:sz w:val="20"/>
        </w:rPr>
        <w:t xml:space="preserve">. The execution, delivery and performance by each Hagerty Party of this Agreement and the consummation by each Hagerty Party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any Hagerty Party or any of its subsidiaries pursuant to, any indenture, mortgage, deed of trust, loan agreement or other agreement or instrument to which any Hagerty Party or any of its subsidiaries is a party or by which any Hagerty Party or any of its subsidiaries is bound or to which any property, right or asset of any Hagerty Party or any of its subsidiaries is subject, (ii) result in any violation of the provisions of the charter or by-laws or similar organizational documents of any Hagerty Party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Consents Required</w:t>
      </w:r>
      <w:r>
        <w:rPr>
          <w:rFonts w:ascii="Times New Roman" w:hAnsi="Times New Roman"/>
          <w:sz w:val="20"/>
        </w:rPr>
        <w:t xml:space="preserve">. No consent, approval, authorization, order, registration or qualification of or with any court or arbitrator or governmental or regulatory authority is required for the execution, delivery and performance by each Hagerty Party of this Agreement, and the consummation by each Hagerty Party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Legal Proceedings</w:t>
      </w:r>
      <w:r>
        <w:rPr>
          <w:rFonts w:ascii="Times New Roman" w:hAnsi="Times New Roman"/>
          <w:sz w:val="20"/>
        </w:rPr>
        <w:t>. Except as described in the Registration Statement, the Pricing Disclosure Package and the Prospectus, there are no legal, governmental or regulatory investigations, actions, demands, claims, suits, arbitrations, inquiries or proceedings (“</w:t>
      </w:r>
      <w:r>
        <w:rPr>
          <w:rFonts w:ascii="Times New Roman" w:hAnsi="Times New Roman"/>
          <w:sz w:val="20"/>
          <w:u w:val="single"/>
        </w:rPr>
        <w:t>Actions</w:t>
      </w:r>
      <w:r>
        <w:rPr>
          <w:rFonts w:ascii="Times New Roman" w:hAnsi="Times New Roman"/>
          <w:sz w:val="20"/>
        </w:rPr>
        <w:t xml:space="preserve">”) pending to which any Hagerty Party or any of its subsidiaries is or may be a party or to which any property of any Hagerty Party or any of its subsidiaries is or may be the subject that, individually or in the aggregate, if determined adversely to either Hagerty Party or any of its subsidiaries, could reasonably be expected, individually or in the aggregate, to have a Material Adverse Effect; no such Actions are threatened or, to the knowledge of the Hagerty Parties, contemplated by any governmental or regulatory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authority or threatened by others that would reasonably be expected, individually or in the aggregate, to have a Material Adverse Effect;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Independent Accountants</w:t>
      </w:r>
      <w:r>
        <w:rPr>
          <w:rFonts w:ascii="Times New Roman" w:hAnsi="Times New Roman"/>
          <w:sz w:val="20"/>
        </w:rPr>
        <w:t xml:space="preserve">. Deloitte &amp; Touche LLP, who have certified certain financial statements of the Company and its subsidiaries, is an independent registered public accounting firm with respect to the Company, THG and their subsidiaries within the applicable rules and regulations adopted by the Commission and the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Title to Real and Personal Property</w:t>
      </w:r>
      <w:r>
        <w:rPr>
          <w:rFonts w:ascii="Times New Roman" w:hAnsi="Times New Roman"/>
          <w:sz w:val="20"/>
        </w:rPr>
        <w:t xml:space="preserve">. Each Hagerty Party and its subsidiaries have good and marketable title in fee simple to, or have valid rights to lease or otherwise use, all items of real and personal property that are material to the respective businesses of the Hagerty Parties and their subsidiaries, in each case free and clear of all liens, encumbrances, claims and defects and imperfections of title except those that (i) do not materially interfere with the use made and proposed to be made of such property by the applicable Hagerty Party and its subsidiaries or (ii)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Intellectual Property</w:t>
      </w:r>
      <w:r>
        <w:rPr>
          <w:rFonts w:ascii="Times New Roman" w:hAnsi="Times New Roman"/>
          <w:sz w:val="20"/>
        </w:rPr>
        <w:t>. Except as would not reasonably be expected, individually or in the aggregate, to have a Material Adverse Effect: (i) Each Hagerty Party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 w:hAnsi="Times New Roman"/>
          <w:sz w:val="20"/>
          <w:u w:val="single"/>
        </w:rPr>
        <w:t>Intellectual Property</w:t>
      </w:r>
      <w:r>
        <w:rPr>
          <w:rFonts w:ascii="Times New Roman" w:hAnsi="Times New Roman"/>
          <w:sz w:val="20"/>
        </w:rPr>
        <w:t xml:space="preserve">”) used in the conduct of their respective businesses as currently conducted and, to the knowledge of the Hagerty Parties, as proposed to be conducted in the Registration Statement, the Pricing Disclosure Package and the Prospectus; (ii) each Hagerty Party’s and its subsidiaries’ conduct of their respective businesses does not infringe, misappropriate or otherwise violate any Intellectual Property of any person and no Hagerty Party and its subsidiaries have received any written notice to such effect; and (iv) to the knowledge of the Hagerty Parties, the Intellectual Property of the Hagerty Parties and their subsidiaries is not being infringed, misappropriated or otherwise violated by any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Undisclosed Relationships</w:t>
      </w:r>
      <w:r>
        <w:rPr>
          <w:rFonts w:ascii="Times New Roman" w:hAnsi="Times New Roman"/>
          <w:sz w:val="20"/>
        </w:rPr>
        <w:t xml:space="preserve">.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Investment Company Act</w:t>
      </w:r>
      <w:r>
        <w:rPr>
          <w:rFonts w:ascii="Times New Roman" w:hAnsi="Times New Roman"/>
          <w:sz w:val="20"/>
        </w:rPr>
        <w:t>. Neither the Company nor THG is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 w:hAnsi="Times New Roman"/>
          <w:sz w:val="20"/>
          <w:u w:val="single"/>
        </w:rPr>
        <w:t>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Taxes</w:t>
      </w:r>
      <w:r>
        <w:rPr>
          <w:rFonts w:ascii="Times New Roman" w:hAnsi="Times New Roman"/>
          <w:sz w:val="20"/>
        </w:rPr>
        <w:t xml:space="preserve">. The Company and its subsidiaries have paid all federal, state, local and foreign taxes and filed all tax returns required to be paid or filed through the date hereof; and except as otherwise disclosed in each of the Registration Statement, the Pricing Disclosure Package and the Prospectus, or as would not reasonably be expected to have a Material Adverse Effect, there is no tax deficiency that has been, or could reasonably be expected to be, asserted against the Company or any of its subsidiaries or any of their respective properties or assets.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Licenses and Permits</w:t>
      </w:r>
      <w:r>
        <w:rPr>
          <w:rFonts w:ascii="Times New Roman" w:hAnsi="Times New Roman"/>
          <w:sz w:val="20"/>
        </w:rPr>
        <w:t xml:space="preserve">. Each Hagerty Party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reasonably be expected, individually or in the aggregate, to have a Material Adverse Effect; and except as described in each of the Registration Statement, the Pricing Disclosure Package and the Prospectus, neither of the Hagerty Parties nor any of their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Insurance Subsidiaries</w:t>
      </w:r>
      <w:r>
        <w:rPr>
          <w:rFonts w:ascii="Times New Roman" w:hAnsi="Times New Roman"/>
          <w:sz w:val="20"/>
        </w:rPr>
        <w:t>. Each subsidiary of the Company that is required to be organized and licensed as an insurance company (collectively, the “</w:t>
      </w:r>
      <w:r>
        <w:rPr>
          <w:rFonts w:ascii="Times New Roman" w:hAnsi="Times New Roman"/>
          <w:sz w:val="20"/>
          <w:u w:val="single"/>
        </w:rPr>
        <w:t>Insurance Subsidiaries</w:t>
      </w:r>
      <w:r>
        <w:rPr>
          <w:rFonts w:ascii="Times New Roman" w:hAnsi="Times New Roman"/>
          <w:sz w:val="20"/>
        </w:rPr>
        <w:t xml:space="preserve">”) is duly organized and licensed as required in its jurisdiction of organization and is duly licensed or authorized as required in each jurisdiction outside its jurisdiction of organization where it is required to be so licensed or authorized to conduct its business as described in the Registration Statement, the Pricing Disclosure Package and the Prospectus, except where the failure to be so licensed or authorized would not reasonably be expected, individually or in the aggregate, to have a Material Adverse Effect. The Insurance Subsidiaries have made all required filings (including statutory annual and quarterly statements and statutory balance sheets and income statements included therein, as applicable) under applicable insurance statutes in each jurisdiction where such filings are required, except for such filings the failure of which to make would not reasonably be expected, individually or in the aggregate, to have a Material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Adverse Effect. Each of the Insurance Subsidiaries has all other necessary authorizations, approvals, orders, consents, certificates, permits, registrations and qualifications (“</w:t>
      </w:r>
      <w:r>
        <w:rPr>
          <w:rFonts w:ascii="Times New Roman" w:hAnsi="Times New Roman"/>
          <w:sz w:val="20"/>
          <w:u w:val="single"/>
        </w:rPr>
        <w:t>Authorizations</w:t>
      </w:r>
      <w:r>
        <w:rPr>
          <w:rFonts w:ascii="Times New Roman" w:hAnsi="Times New Roman"/>
          <w:sz w:val="20"/>
        </w:rPr>
        <w:t xml:space="preserve">”), of and from all insurance regulatory authorities necessary to conduct their respective existing businesses as described in the Registration Statement, the Pricing Disclosure Package and the Prospectus, except where the failure to have such Authorizations would not reasonably be expected, individually or in the aggregate, to have a Material Adverse Effect, and no Insurance Subsidiary has received any notification from any insurance regulatory authority to the effect that any additional Authorizations are needed to be obtained by any Insurance Subsidiary in any case where it would reasonably be expected that the failure to obtain such additional Authorizations or the limiting of the writing of such business would, individually or in the aggregate, have a Material Adverse Effect, and, except as set forth in the Registration Statement, the Pricing Disclosure Package and the Prospectus, no insurance regulatory authority having jurisdiction over any Insurance Subsidiary has issued any order or decree impairing, restricting or prohibiting (i) the payment of dividends by any Insurance Subsidiary to its parent, other than those restrictions applicable to insurance or reinsurance companies under such jurisdiction generally or (ii) the continuation of the business of the Company or any of the Insurance Subsidiaries in all material respects as presently conducted, in each case except where such orders or decrees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Treaties, Contracts and Arrangements</w:t>
      </w:r>
      <w:r>
        <w:rPr>
          <w:rFonts w:ascii="Times New Roman" w:hAnsi="Times New Roman"/>
          <w:sz w:val="20"/>
        </w:rPr>
        <w:t xml:space="preserve">. To the knowledge of the Company, none of the Company nor any of its Insurance Subsidiaries has received any notice from any of the other parties to any reinsurance treaties, contracts, agreements or arrangements to which the Company or any Insurance Subsidiary is a party that such other party intends not to perform its obligations thereunder, except to the extent that such nonperformance would not reasonably be expected, individually or in the aggregate, to have a Material Adverse Effect. Except as described in the Registration Statement, the Pricing Disclosure Package and the Prospectus, all material ceded reinsurance and retrocession treaties and contracts to which the Insurance Subsidiary is a ceding party, are in full force and effect and the Insurance Subsidiary is not in default or breach of any such treaties and contracts, except where such default or breach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Insurance Reserving</w:t>
      </w:r>
      <w:r>
        <w:rPr>
          <w:rFonts w:ascii="Times New Roman" w:hAnsi="Times New Roman"/>
          <w:sz w:val="20"/>
        </w:rPr>
        <w:t xml:space="preserve">. Except as described in the Registration Statement, the Pricing Disclosure Package and the Prospectus, since December 31, 2025, neither the Company nor any of its Insurance Subsidiaries have made any material change in their respective insurance reserving practices.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No Labor Disputes</w:t>
      </w:r>
      <w:r>
        <w:rPr>
          <w:rFonts w:ascii="Times New Roman" w:hAnsi="Times New Roman"/>
          <w:sz w:val="20"/>
        </w:rPr>
        <w:t xml:space="preserve">. No labor disturbance by or dispute with employees of any Hagerty Party or any of its subsidiaries exists or, to the knowledge of the Hagerty Parties, is contemplated or threatened, and the Hagerty Parties are not aware of any existing or imminent labor disturbance by, or dispute with, the employees of any of its or its subsidiaries’ principal suppliers, contractors or customers, except as would not reasonably be expected, individually or in the aggregate, to have a Material Adverse Effect. Neither the Hagerty Parties nor any of their subsidiaries has received any notice of cancellation or termination with respect to any collective bargaining agreement to which it is a party.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Certain Environmental Matters</w:t>
      </w:r>
      <w:r>
        <w:rPr>
          <w:rFonts w:ascii="Times New Roman" w:hAnsi="Times New Roman"/>
          <w:sz w:val="20"/>
        </w:rPr>
        <w:t>. (i) Each Hagerty Party and its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 w:hAnsi="Times New Roman"/>
          <w:sz w:val="20"/>
          <w:u w:val="single"/>
        </w:rPr>
        <w:t>Environmental Laws</w:t>
      </w:r>
      <w:r>
        <w:rPr>
          <w:rFonts w:ascii="Times New Roman" w:hAnsi="Times New Roman"/>
          <w:sz w:val="20"/>
        </w:rPr>
        <w:t xml:space="preserve">”);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any Hagerty Party or its subsidiaries, except in the case of each of (i) and (ii) above, for any such matter as would not reasonably be expected, individually or in the aggregate, to have a Material Adverse Effect; and (iii) except as described in each of the Pricing Disclosure Package and the Prospectus, (x) there is no proceeding that is pending, or that is known to be contemplated, against any Hagerty Party or any of its subsidiaries under any Environmental Laws in which a governmental entity is also a party, other than such proceeding regarding which it is reasonably believed no monetary sanctions of $300,000 or more will be imposed, (y) none of the Hagerty Parties nor any of their subsidiaries is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any Hagerty Party and its subsidiaries, and (z) none of the Company or its subsidiaries anticipates material capital expenditures relating to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Compliance with ERISA</w:t>
      </w:r>
      <w:r>
        <w:rPr>
          <w:rFonts w:ascii="Times New Roman" w:hAnsi="Times New Roman"/>
          <w:sz w:val="20"/>
        </w:rPr>
        <w:t>. (i) Each employee benefit plan, within the meaning of Section 3(3) of the Employee Retirement Income Security Act of 1974, as amended (“</w:t>
      </w:r>
      <w:r>
        <w:rPr>
          <w:rFonts w:ascii="Times New Roman" w:hAnsi="Times New Roman"/>
          <w:sz w:val="20"/>
          <w:u w:val="single"/>
        </w:rPr>
        <w:t>ERISA</w:t>
      </w:r>
      <w:r>
        <w:rPr>
          <w:rFonts w:ascii="Times New Roman" w:hAnsi="Times New Roman"/>
          <w:sz w:val="20"/>
        </w:rPr>
        <w:t>”), for which any Hagerty Party or any member of its “</w:t>
      </w:r>
      <w:r>
        <w:rPr>
          <w:rFonts w:ascii="Times New Roman" w:hAnsi="Times New Roman"/>
          <w:sz w:val="20"/>
          <w:u w:val="single"/>
        </w:rPr>
        <w:t>Controlled Group</w:t>
      </w:r>
      <w:r>
        <w:rPr>
          <w:rFonts w:ascii="Times New Roman" w:hAnsi="Times New Roman"/>
          <w:sz w:val="20"/>
        </w:rPr>
        <w:t>” (defined as any entity, whether or not incorporated, that is under common control with any Hagerty Party within the meaning of Section 4001(a)(14) of ERISA or any entity that would be regarded as a single employer with the Hagerty Party under Section 414(b),(c),(m) or (o) of the Internal Revenue Code of 1986, as amended (the “</w:t>
      </w:r>
      <w:r>
        <w:rPr>
          <w:rFonts w:ascii="Times New Roman" w:hAnsi="Times New Roman"/>
          <w:sz w:val="20"/>
          <w:u w:val="single"/>
        </w:rPr>
        <w:t>Code</w:t>
      </w:r>
      <w:r>
        <w:rPr>
          <w:rFonts w:ascii="Times New Roman" w:hAnsi="Times New Roman"/>
          <w:sz w:val="20"/>
        </w:rPr>
        <w:t>”)) would have any liability (each, a “</w:t>
      </w:r>
      <w:r>
        <w:rPr>
          <w:rFonts w:ascii="Times New Roman" w:hAnsi="Times New Roman"/>
          <w:sz w:val="20"/>
          <w:u w:val="single"/>
        </w:rPr>
        <w:t>Plan</w:t>
      </w:r>
      <w:r>
        <w:rPr>
          <w:rFonts w:ascii="Times New Roman" w:hAnsi="Times New Roman"/>
          <w:sz w:val="20"/>
        </w:rPr>
        <w:t xml:space="preserve">”) has been maintained in compliance in all material respects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Hagerty Parties nor any member of the Controlled Group has incurred, nor reasonably expect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Hagerty Parties or their Controlled Group affiliates in the current fiscal year of the Hagerty Parties and their Controlled Group affiliates compared to the amount of such contributions made in the Hagerty Parties and their Controlled Group affiliates’ most recently completed fiscal year; or (B) a material increase in the Hagerty Parties and their subsidiaries’ “accumulated post-retirement benefit obligations” (within the meaning of Accounting Standards Codification Topic 715-60) compared to the amount of such obligations in the Hagerty Parties and their subsidiaries’ most recently completed fiscal year has occurred or is reasonably likely to occur, except in each case with respect to the events or conditions set forth in (i) through (ix) hereof, as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Disclosure Controls</w:t>
      </w:r>
      <w:r>
        <w:rPr>
          <w:rFonts w:ascii="Times New Roman" w:hAnsi="Times New Roman"/>
          <w:sz w:val="20"/>
        </w:rPr>
        <w:t xml:space="preserve">. The Company and its subsidiaries maintain an effective system of “disclosure controls and procedures” (as defined in Rule 13a-15(e) under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Accounting Controls</w:t>
      </w:r>
      <w:r>
        <w:rPr>
          <w:rFonts w:ascii="Times New Roman" w:hAnsi="Times New Roman"/>
          <w:sz w:val="20"/>
        </w:rPr>
        <w:t xml:space="preserve">. The Company and its subsidiaries maintain systems of “internal control over financial reporting” (as defined in Rule 13a-15(f) under the Exchange Act) that comply with the requirements of the Exchange Act and have been designed by, or under the supervision of, their respective principal executive and principal financial officers, or persons performing similar functions, to provide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Based on the Company’s most recent evaluation of its internal controls over financial reporting pursuant to Rule 13a-15(c) under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any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Insurance</w:t>
      </w:r>
      <w:r>
        <w:rPr>
          <w:rFonts w:ascii="Times New Roman" w:hAnsi="Times New Roman"/>
          <w:sz w:val="20"/>
        </w:rPr>
        <w:t xml:space="preserve">. Each Hagerty Party and its subsidiaries have insurance covering their respective properties, operations, personnel and businesses, including business interruption insurance, which insurance is in amounts and insures against such losses and risks as are generally maintained by similar situated companies and which the Company believes are reasonably adequate to protect each Hagerty Party and its subsidiaries and their respective businesses; and neither of the Hagerty Parties nor any of their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Cybersecurity; Data Protection</w:t>
      </w:r>
      <w:r>
        <w:rPr>
          <w:rFonts w:ascii="Times New Roman" w:hAnsi="Times New Roman"/>
          <w:sz w:val="20"/>
        </w:rPr>
        <w:t>. Each Hagerty Party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xml:space="preserve">”)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commercially reasonable controls, policies, procedures, and safeguards designed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No Unlawful Payments</w:t>
      </w:r>
      <w:r>
        <w:rPr>
          <w:rFonts w:ascii="Times New Roman" w:hAnsi="Times New Roman"/>
          <w:sz w:val="20"/>
        </w:rPr>
        <w:t xml:space="preserve">. None of the Hagerty Parties nor any of their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Each Hagerty Party and its subsidiaries have instituted, maintain and enforce, and will continue to maintain and enforce policies and procedures designed to promote and ensure compliance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Compliance with Anti-Money Laundering Laws</w:t>
      </w:r>
      <w:r>
        <w:rPr>
          <w:rFonts w:ascii="Times New Roman" w:hAnsi="Times New Roman"/>
          <w:sz w:val="20"/>
        </w:rPr>
        <w:t>. The operations of each Hagerty Party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any Hagerty Party or any of its subsidiaries conducts business, the rules and regulations thereunder and any related or similar rules, regulations or guidelines issued, administered or enforced by any governmental agency (collectively, the “</w:t>
      </w:r>
      <w:r>
        <w:rPr>
          <w:rFonts w:ascii="Times New Roman" w:hAnsi="Times New Roman"/>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any Hagerty Party or any of its subsidiaries with respect to the Anti-Money Laundering Laws is pending or, to the knowledge of the Hagerty Parties, threatened.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No Conflicts with Sanctions Laws</w:t>
      </w:r>
      <w:r>
        <w:rPr>
          <w:rFonts w:ascii="Times New Roman" w:hAnsi="Times New Roman"/>
          <w:sz w:val="20"/>
        </w:rPr>
        <w:t>. None of the Hagerty Parties nor any of their subsidiaries, directors, officers or employees, nor, to the knowledge of the Hagerty Parties, any agent, affiliate or other person associated with or acting on behalf of the Hagerty Parties or any of its subsidiaries is currently the subject or the target of any sanctions administered or enforced by the U.S. Government (including, without limitation, the Office of Foreign Assets Control of the U.S. Department of the Treasury (“</w:t>
      </w:r>
      <w:r>
        <w:rPr>
          <w:rFonts w:ascii="Times New Roman" w:hAnsi="Times New Roman"/>
          <w:sz w:val="20"/>
          <w:u w:val="single"/>
        </w:rPr>
        <w:t>OFAC</w:t>
      </w:r>
      <w:r>
        <w:rPr>
          <w:rFonts w:ascii="Times New Roman" w:hAnsi="Times New Roman"/>
          <w:sz w:val="20"/>
        </w:rPr>
        <w:t>”) or the U.S. Department of State and including, without limitation, the designation as a “specially designated national” or “blocked person”), the United Nations Security Council (“</w:t>
      </w:r>
      <w:r>
        <w:rPr>
          <w:rFonts w:ascii="Times New Roman" w:hAnsi="Times New Roman"/>
          <w:sz w:val="20"/>
          <w:u w:val="single"/>
        </w:rPr>
        <w:t>UNSC</w:t>
      </w:r>
      <w:r>
        <w:rPr>
          <w:rFonts w:ascii="Times New Roman" w:hAnsi="Times New Roman"/>
          <w:sz w:val="20"/>
        </w:rPr>
        <w:t>”), the European Union, His Majesty’s Treasury (“</w:t>
      </w:r>
      <w:r>
        <w:rPr>
          <w:rFonts w:ascii="Times New Roman" w:hAnsi="Times New Roman"/>
          <w:sz w:val="20"/>
          <w:u w:val="single"/>
        </w:rPr>
        <w:t>HMT</w:t>
      </w:r>
      <w:r>
        <w:rPr>
          <w:rFonts w:ascii="Times New Roman" w:hAnsi="Times New Roman"/>
          <w:sz w:val="20"/>
        </w:rPr>
        <w:t>”) or other applicable sanctions authority (collectively, “</w:t>
      </w:r>
      <w:r>
        <w:rPr>
          <w:rFonts w:ascii="Times New Roman" w:hAnsi="Times New Roman"/>
          <w:sz w:val="20"/>
          <w:u w:val="single"/>
        </w:rPr>
        <w:t>Sanctions</w:t>
      </w:r>
      <w:r>
        <w:rPr>
          <w:rFonts w:ascii="Times New Roman" w:hAnsi="Times New Roman"/>
          <w:sz w:val="20"/>
        </w:rPr>
        <w:t>”),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(each, a “</w:t>
      </w:r>
      <w:r>
        <w:rPr>
          <w:rFonts w:ascii="Times New Roman" w:hAnsi="Times New Roman"/>
          <w:sz w:val="20"/>
          <w:u w:val="single"/>
        </w:rPr>
        <w:t>Sanctioned Country</w:t>
      </w:r>
      <w:r>
        <w:rPr>
          <w:rFonts w:ascii="Times New Roman" w:hAnsi="Times New Roman"/>
          <w:sz w:val="20"/>
        </w:rPr>
        <w:t xml:space="preserve">”);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the Hagerty Parties and their respective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No Restrictions on Subsidiaries</w:t>
      </w:r>
      <w:r>
        <w:rPr>
          <w:rFonts w:ascii="Times New Roman" w:hAnsi="Times New Roman"/>
          <w:sz w:val="20"/>
        </w:rPr>
        <w:t xml:space="preserve">. No subsidiary of any Hagerty Party is currently prohibited, directly or indirectly, under any agreement or other instrument to which it is a party or is subject, from paying any dividends to any Hagerty Party, from making any other distribution on such subsidiary’s capital stock or similar ownership interest, from repaying to any Hagerty Party or its subsidiaries any loans or advances to such subsidiary from such Hagerty Party or its subsidiaries or from transferring any of such subsidiary’s properties or assets to the Hagerty Parties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No Broker’s Fees</w:t>
      </w:r>
      <w:r>
        <w:rPr>
          <w:rFonts w:ascii="Times New Roman" w:hAnsi="Times New Roman"/>
          <w:sz w:val="20"/>
        </w:rPr>
        <w:t xml:space="preserve">. None of the Hagerty Parties nor any of their subsidiaries is a party to any contract, agreement or understanding with any person (other than this Agreement) that would give rise to a valid claim against any of Hagerty Party or any of its subsidiaries or any Underwriter for a brokerage commission, finder’s fee or like payment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No Registration Rights</w:t>
      </w:r>
      <w:r>
        <w:rPr>
          <w:rFonts w:ascii="Times New Roman" w:hAnsi="Times New Roman"/>
          <w:sz w:val="20"/>
        </w:rPr>
        <w:t xml:space="preserve">. Except as described in the Registration Statement, the Pricing Disclosure Package and the Prospectus, or waived in writing, no person has the right to require any Hagerty Party or any of its subsidiaries to register any securities for sale under the Securities Act by reason of the filing of the Registration Statement with the Commission or, to the knowledge of the Hagerty Parties, the sale of the Shares to be sold by the Selling Stockholders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No Stabilization</w:t>
      </w:r>
      <w:r>
        <w:rPr>
          <w:rFonts w:ascii="Times New Roman" w:hAnsi="Times New Roman"/>
          <w:sz w:val="20"/>
        </w:rPr>
        <w:t xml:space="preserve">. Neither the Company nor any of its subsidiaries or affiliates has taken, directly or indirectly, any action designed to or that could reasonably be expected to cause or result in any stabilization or manipulation of the price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Statistical and Market Data</w:t>
      </w:r>
      <w:r>
        <w:rPr>
          <w:rFonts w:ascii="Times New Roman" w:hAnsi="Times New Roman"/>
          <w:sz w:val="20"/>
        </w:rPr>
        <w:t xml:space="preserve">. Nothing has come to the attention of any Hagerty Party that has caused such Hagerty Party to believe that the statistical and market-related data included or incorporated by reference in each of the Registration Statement, the Pricing Disclosure Package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Sarbanes-Oxley Act</w:t>
      </w:r>
      <w:r>
        <w:rPr>
          <w:rFonts w:ascii="Times New Roman" w:hAnsi="Times New Roman"/>
          <w:sz w:val="20"/>
        </w:rPr>
        <w:t xml:space="preserve">. There is and has been no failure on the part of the Company or any of the Company’s directors or officers, in their capacities as such, to comply with any provision of the Sarbanes-Oxley Act of 2002, as amended and the rules and regulations promulgated in connection therewith,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Shares and at the date hereof, the Company was not and is not an “ineligible issuer,” as defined in Rule 405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No Ratings</w:t>
      </w:r>
      <w:r>
        <w:rPr>
          <w:rFonts w:ascii="Times New Roman" w:hAnsi="Times New Roman"/>
          <w:sz w:val="20"/>
        </w:rPr>
        <w:t xml:space="preserve">. There are (and prior to the Closing Date, will be) no debt securities, convertible securities or preferred stock issued or guaranteed by the Company or any of its subsidiaries that are rated by a “nationally recognized statistical rating organization,” as such term is defined in Section 3(a)(62)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of the Selling Stockholders</w:t>
      </w:r>
      <w:r>
        <w:rPr>
          <w:rFonts w:ascii="Times New Roman" w:hAnsi="Times New Roman"/>
          <w:sz w:val="20"/>
        </w:rPr>
        <w:t xml:space="preserve">. Each of the Selling Stockholders, severally and not jointly, represents and warrants to each Underwriter and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Required Consents; Authority</w:t>
      </w:r>
      <w:r>
        <w:rPr>
          <w:rFonts w:ascii="Times New Roman" w:hAnsi="Times New Roman"/>
          <w:sz w:val="20"/>
        </w:rPr>
        <w:t xml:space="preserve">. No consent, approval, authorization, order, registration or qualification of or with any court or arbitrator or governmental or regulatory authority is required for the execution, delivery and performance by each Selling Stockholder of this Agreement, and the consummation by each Selling Stockholder of the transactions contemplated by this Agreement, except for the registration of the Shares under the Securities Act and such consents, approvals, authorizations, orders and registrations or qualifications as may be required by FINRA and under applicable state securities laws in connection with the purchase and distribution of the Shares by the Underwriters.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The execution, delivery and performance by such Selling Stockholder of this Agreement, the sale of the Shares to be sold by such Selling Stockholder and the consummation by such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any charter or by-laws or similar organizational documents of such Selling Stockholder or (iii) result in the violation of any law or statute or any judgment, order, rule or regulation of any court or arbitrator or governmental or regulatory authority having jurisdiction over such Selling Stockholder, except, in the case of clauses (i) and (iii) above, for any such conflict, breach, violation, default, lien, charge or encumbrance that would not reasonably be expected, individually or in the aggregate, to have a material adverse effect on the performance by such Selling Stockholder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Title to Shares</w:t>
      </w:r>
      <w:r>
        <w:rPr>
          <w:rFonts w:ascii="Times New Roman" w:hAnsi="Times New Roman"/>
          <w:sz w:val="20"/>
        </w:rPr>
        <w:t xml:space="preserve">. Such Selling Stockholder is the beneficial owner of and has, or will have at the Closing Date and the Additional Closing Date, good and valid title to the Shares to be sold at the Closing Date or the Additional Closing Date, as the case may be, by such Selling Stockholder hereunder, free and clear of all liens, encumbrances, equities or adverse claims; and, upon payment for the Shares to be sold by such Selling Stockholder pursuant to this Agreement, delivery of such Shares, as directed by the Underwriters, to Cede &amp; Co. (“Cede”) or such other nominee as may be designated by DTC,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“UCC”))),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Stabilization</w:t>
      </w:r>
      <w:r>
        <w:rPr>
          <w:rFonts w:ascii="Times New Roman" w:hAnsi="Times New Roman"/>
          <w:sz w:val="20"/>
        </w:rPr>
        <w:t xml:space="preserve">. Such Selling Stockholder has not taken, directly or indirectly, any action designed to or that could reasonably be expected to cause or result in any stabilization or manipulation of the price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Pricing Disclosure Package</w:t>
      </w:r>
      <w:r>
        <w:rPr>
          <w:rFonts w:ascii="Times New Roman" w:hAnsi="Times New Roman"/>
          <w:sz w:val="20"/>
        </w:rPr>
        <w:t xml:space="preserve">. The Pricing Disclosure Package, at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information furnished in writing to the Company by such Selling Stockholder consists of the name and address of such Selling Stockholder, the number of offered shares, the designated use of proceeds from the sale of the Shares and the other information with respect to such Selling Stockholder (excluding percentages) that appears in the Registration Statement, the Pricing Disclosure Package and the Prospectus in the table (and corresponding footnotes) under the caption “Selling Stockholders” (collectively, the “</w:t>
      </w:r>
      <w:r>
        <w:rPr>
          <w:rFonts w:ascii="Times New Roman" w:hAnsi="Times New Roman"/>
          <w:sz w:val="20"/>
          <w:u w:val="single"/>
        </w:rPr>
        <w:t>Selling Stockholder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Issuer Free Writing Prospectus</w:t>
      </w:r>
      <w:r>
        <w:rPr>
          <w:rFonts w:ascii="Times New Roman" w:hAnsi="Times New Roman"/>
          <w:sz w:val="20"/>
        </w:rPr>
        <w:t xml:space="preserve">. Other than the Registration Statement, the Preliminary 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or (ii) the documents listed on </w:t>
      </w:r>
      <w:r>
        <w:rPr>
          <w:rFonts w:ascii="Times New Roman" w:hAnsi="Times New Roman"/>
          <w:sz w:val="20"/>
          <w:u w:val="single"/>
        </w:rPr>
        <w:t>Annex A</w:t>
      </w:r>
      <w:r>
        <w:rPr>
          <w:rFonts w:ascii="Times New Roman" w:hAnsi="Times New Roman"/>
          <w:sz w:val="20"/>
        </w:rPr>
        <w:t xml:space="preserve"> hereto, each electronic road show and any other written communications approved in writing in advance by the Company and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Registration Statement and Prospectus</w:t>
      </w:r>
      <w:r>
        <w:rPr>
          <w:rFonts w:ascii="Times New Roman" w:hAnsi="Times New Roman"/>
          <w:sz w:val="20"/>
        </w:rPr>
        <w:t xml:space="preserve">. As of the applicable effective date of the Registration Statement and any post-effective amendment 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such Selling Stockholder’s representation under this </w:t>
      </w:r>
      <w:r>
        <w:rPr>
          <w:rFonts w:ascii="Times New Roman" w:hAnsi="Times New Roman"/>
          <w:sz w:val="20"/>
          <w:u w:val="single"/>
        </w:rPr>
        <w:t xml:space="preserve">Section 4(g) </w:t>
      </w:r>
      <w:r>
        <w:rPr>
          <w:rFonts w:ascii="Times New Roman" w:hAnsi="Times New Roman"/>
          <w:sz w:val="20"/>
        </w:rPr>
        <w:t xml:space="preserve">shall only apply to any untrue statement of a material fact or omission to state a material fact made in reliance upon and in conformity with such Selling Stockholder’s Selling Stockholder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Material Information</w:t>
      </w:r>
      <w:r>
        <w:rPr>
          <w:rFonts w:ascii="Times New Roman" w:hAnsi="Times New Roman"/>
          <w:sz w:val="20"/>
        </w:rPr>
        <w:t xml:space="preserve">. As of the date hereof and as of the Closing Date and as of the Additional Closing Date, as the case may be, the sale of the Shares by such Selling Stockholder pursuant to this Agreement is not prompted by any material non-public information concerning the Company which is not set forth in the Registration Statement, the Pricing Disclosure Package or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Unlawful Payments</w:t>
      </w:r>
      <w:r>
        <w:rPr>
          <w:rFonts w:ascii="Times New Roman" w:hAnsi="Times New Roman"/>
          <w:sz w:val="20"/>
        </w:rPr>
        <w:t xml:space="preserve">. Neither such Selling Stockholder nor, if applicable, any of its subsidiaries, nor any director, officer or employee of such Selling Stockholder or any of its subsidiaries nor, to the knowledge of such Selling Stockholder, any agent, affiliate or other person associated with or acting on behalf of such Selling Stockholder or, if applicable,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Compliance with Anti-Money Laundering Laws</w:t>
      </w:r>
      <w:r>
        <w:rPr>
          <w:rFonts w:ascii="Times New Roman" w:hAnsi="Times New Roman"/>
          <w:sz w:val="20"/>
        </w:rPr>
        <w:t>. The operations of such Selling Stockholder and, if applicable,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such Selling Stockholder or any of its subsidiaries conducts business, the rules and regulations thereunder and any related or similar rules, regulations or guidelines, issued, administered or enforced by any governmental agency (collectively, the “</w:t>
      </w:r>
      <w:r>
        <w:rPr>
          <w:rFonts w:ascii="Times New Roman" w:hAnsi="Times New Roman"/>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such Selling Stockholder or any of its subsidiaries with respect to the Anti-Money Laundering Laws is pending or, to the knowledge of such Selling Stockholder, threatened.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Conflicts with Sanctions Laws</w:t>
      </w:r>
      <w:r>
        <w:rPr>
          <w:rFonts w:ascii="Times New Roman" w:hAnsi="Times New Roman"/>
          <w:sz w:val="20"/>
        </w:rPr>
        <w:t>. Neither such Selling Stockholder nor, if applicable, any of its subsidiaries, directors, officers or employees, nor, to the knowledge of such Selling Stockholder, any agent, affiliate or other person controlled by such Selling Stockholder or, if applicable, any of its subsidiaries is currently the subject or the target of any sanctions administered or enforced by the U.S. government (including, without limitation, the Office of Foreign Assets Control of the U.S. Department of the Treasury (“</w:t>
      </w:r>
      <w:r>
        <w:rPr>
          <w:rFonts w:ascii="Times New Roman" w:hAnsi="Times New Roman"/>
          <w:sz w:val="20"/>
          <w:u w:val="single"/>
        </w:rPr>
        <w:t>OFAC</w:t>
      </w:r>
      <w:r>
        <w:rPr>
          <w:rFonts w:ascii="Times New Roman" w:hAnsi="Times New Roman"/>
          <w:sz w:val="20"/>
        </w:rPr>
        <w:t xml:space="preserve">”) or the U.S. Department of State and including, without limitation, the designation as a “specially designated national” or “blocked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person”), the United Nations Security Council (“</w:t>
      </w:r>
      <w:r>
        <w:rPr>
          <w:rFonts w:ascii="Times New Roman" w:hAnsi="Times New Roman"/>
          <w:sz w:val="20"/>
          <w:u w:val="single"/>
        </w:rPr>
        <w:t>UNSC</w:t>
      </w:r>
      <w:r>
        <w:rPr>
          <w:rFonts w:ascii="Times New Roman" w:hAnsi="Times New Roman"/>
          <w:sz w:val="20"/>
        </w:rPr>
        <w:t>”), the European Union, His Majesty’s Treasury (“</w:t>
      </w:r>
      <w:r>
        <w:rPr>
          <w:rFonts w:ascii="Times New Roman" w:hAnsi="Times New Roman"/>
          <w:sz w:val="20"/>
          <w:u w:val="single"/>
        </w:rPr>
        <w:t>HMT</w:t>
      </w:r>
      <w:r>
        <w:rPr>
          <w:rFonts w:ascii="Times New Roman" w:hAnsi="Times New Roman"/>
          <w:sz w:val="20"/>
        </w:rPr>
        <w:t>”) or other relevant sanctions authority (collectively, “</w:t>
      </w:r>
      <w:r>
        <w:rPr>
          <w:rFonts w:ascii="Times New Roman" w:hAnsi="Times New Roman"/>
          <w:sz w:val="20"/>
          <w:u w:val="single"/>
        </w:rPr>
        <w:t>Sanctions</w:t>
      </w:r>
      <w:r>
        <w:rPr>
          <w:rFonts w:ascii="Times New Roman" w:hAnsi="Times New Roman"/>
          <w:sz w:val="20"/>
        </w:rPr>
        <w:t>”), nor is such Selling Stockholder, any of its subsidiaries located, organized or resident in a country or territory that is the subject or target of Sanctions, including, without limitation, Crimea, Cuba, Iran and North Korea (each, a “</w:t>
      </w:r>
      <w:r>
        <w:rPr>
          <w:rFonts w:ascii="Times New Roman" w:hAnsi="Times New Roman"/>
          <w:sz w:val="20"/>
          <w:u w:val="single"/>
        </w:rPr>
        <w:t>Sanctioned Country</w:t>
      </w:r>
      <w:r>
        <w:rPr>
          <w:rFonts w:ascii="Times New Roman" w:hAnsi="Times New Roman"/>
          <w:sz w:val="20"/>
        </w:rPr>
        <w:t xml:space="preserve">”); and 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such Selling Stockholder and, if applicable,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Organization and Good Standing</w:t>
      </w:r>
      <w:r>
        <w:rPr>
          <w:rFonts w:ascii="Times New Roman" w:hAnsi="Times New Roman"/>
          <w:sz w:val="20"/>
        </w:rPr>
        <w:t xml:space="preserve">. Such Selling Stockholder has been duly organized and is validly existing and in good standing under the laws of its respective jurisdictions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ERISA</w:t>
      </w:r>
      <w:r>
        <w:rPr>
          <w:rFonts w:ascii="Times New Roman" w:hAnsi="Times New Roman"/>
          <w:i/>
          <w:sz w:val="20"/>
        </w:rPr>
        <w:t>.</w:t>
      </w:r>
      <w:r>
        <w:rPr>
          <w:rFonts w:ascii="Times New Roman" w:hAnsi="Times New Roman"/>
          <w:sz w:val="20"/>
        </w:rPr>
        <w:t xml:space="preserve"> Such Selling Stockholder is not (i) an employee benefit plan subject to Title I of ERISA, (ii) a plan or account subject to Section 4975 of the Code or (iii) an entity deemed to hold “plan assets” of any such plan or account under Section 3(42) of ERISA, 29 C.F.R. 2510.3-101, or otherwise.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Copies</w:t>
      </w:r>
      <w:r>
        <w:rPr>
          <w:rFonts w:ascii="Times New Roman" w:hAnsi="Times New Roman"/>
          <w:sz w:val="20"/>
        </w:rPr>
        <w:t xml:space="preserve">. The Company will deliver, if requested, without charge, (i) to the Representatives, three signed copies of the Registration Statement as originally filed and each amendment thereto, in each case including all exhibits and consents filed therewith and documents incorporated by reference therein; and (ii) to 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hAnsi="Times New Roman"/>
          <w:sz w:val="20"/>
          <w:u w:val="single"/>
        </w:rPr>
        <w:t>Prospectus Delivery Period</w:t>
      </w:r>
      <w:r>
        <w:rPr>
          <w:rFonts w:ascii="Times New Roman" w:hAnsi="Times New Roman"/>
          <w:sz w:val="20"/>
        </w:rPr>
        <w:t xml:space="preserve">”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to the Representatives</w:t>
      </w:r>
      <w:r>
        <w:rPr>
          <w:rFonts w:ascii="Times New Roman" w:hAnsi="Times New Roman"/>
          <w:sz w:val="20"/>
        </w:rPr>
        <w:t xml:space="preserve">. The Company will advise the Representatives promptly, and confirm such advice in writing (which may be by electronic mail), (i) when the Registration Statement has become effective; (ii) when any amendment to the Registration Statement has been filed or becomes effective; (iii) when any supplement to the Pricing Disclosure Package, the Prospectus,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or any other governmental or regulatory authority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obtain as soon as possible the withdrawal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Blue Sky Compliance</w:t>
      </w:r>
      <w:r>
        <w:rPr>
          <w:rFonts w:ascii="Times New Roman" w:hAnsi="Times New Roman"/>
          <w:sz w:val="20"/>
        </w:rPr>
        <w:t xml:space="preserve">. If required by applicable law, the Company will qualify the Shares for offer and sale under the securities or Blue Sky laws of such jurisdictions as the Representatives shall reasonably request and will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Earning Statement</w:t>
      </w:r>
      <w:r>
        <w:rPr>
          <w:rFonts w:ascii="Times New Roman" w:hAnsi="Times New Roman"/>
          <w:sz w:val="20"/>
        </w:rPr>
        <w:t xml:space="preserve">. 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beginning with the first fiscal quarter of the Company occurring after the “effective date” (as defined in Rule 158) of the Registration Statement; </w:t>
      </w:r>
      <w:r>
        <w:rPr>
          <w:rFonts w:ascii="Times New Roman" w:hAnsi="Times New Roman"/>
          <w:sz w:val="20"/>
          <w:u w:val="single"/>
        </w:rPr>
        <w:t>provided</w:t>
      </w:r>
      <w:r>
        <w:rPr>
          <w:rFonts w:ascii="Times New Roman" w:hAnsi="Times New Roman"/>
          <w:sz w:val="20"/>
        </w:rPr>
        <w:t xml:space="preserve"> that the Company will be deemed to have made generally available or furnished such statement to its security holders and the Representatives to the extent such statement is furnished or filed on the Commission’s EDGAR system.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Clear Market</w:t>
      </w:r>
      <w:r>
        <w:rPr>
          <w:rFonts w:ascii="Times New Roman" w:hAnsi="Times New Roman"/>
          <w:sz w:val="20"/>
        </w:rPr>
        <w:t>. For a period of 60 days after the date of the Prospectus (the “</w:t>
      </w:r>
      <w:r>
        <w:rPr>
          <w:rFonts w:ascii="Times New Roman" w:hAnsi="Times New Roman"/>
          <w:sz w:val="20"/>
          <w:u w:val="single"/>
        </w:rPr>
        <w:t>Lock-Up Period</w:t>
      </w:r>
      <w:r>
        <w:rPr>
          <w:rFonts w:ascii="Times New Roman" w:hAnsi="Times New Roman"/>
          <w:sz w:val="20"/>
        </w:rPr>
        <w:t>”), the Company will not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Common Stock or Class V common stock, par value $0.0001 per share (together with the Class A Common Stock, the “</w:t>
      </w:r>
      <w:r>
        <w:rPr>
          <w:rFonts w:ascii="Times New Roman" w:hAnsi="Times New Roman"/>
          <w:sz w:val="20"/>
          <w:u w:val="single"/>
        </w:rPr>
        <w:t>Capital Stock</w:t>
      </w:r>
      <w:r>
        <w:rPr>
          <w:rFonts w:ascii="Times New Roman" w:hAnsi="Times New Roman"/>
          <w:sz w:val="20"/>
        </w:rPr>
        <w:t xml:space="preserve">”) or any securities convertible into or exercisable or exchangeable for Capital Stock, or publicly disclose the intention to undertake any of the foregoing, or (ii) enter into any swap or other agreement that transfers, in whole or in part, any of the economic consequences of ownership of the Capital Stock or any such other securities, whether any such transaction described in clause (i) or (ii) above is to be settled by delivery of Capital Stock or such other securities, in cash or otherwise, without the prior written consent of Representatives, other than as set out in the paragraph below.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described above do not apply to: </w:t>
      </w:r>
    </w:p>
    <w:p>
      <w:pPr>
        <w:pStyle w:val="TextBody"/>
        <w:bidi w:val="0"/>
        <w:spacing w:before="120" w:after="0"/>
        <w:jc w:val="left"/>
        <w:rPr>
          <w:rFonts w:ascii="Times New Roman" w:hAnsi="Times New Roman"/>
          <w:sz w:val="20"/>
        </w:rPr>
      </w:pPr>
      <w:r>
        <w:rPr>
          <w:rFonts w:ascii="Times New Roman" w:hAnsi="Times New Roman"/>
          <w:sz w:val="20"/>
        </w:rPr>
        <w:t xml:space="preserve">(i) the Shares to be sold hereunder; </w:t>
      </w:r>
    </w:p>
    <w:p>
      <w:pPr>
        <w:pStyle w:val="TextBody"/>
        <w:bidi w:val="0"/>
        <w:spacing w:before="120" w:after="0"/>
        <w:jc w:val="left"/>
        <w:rPr>
          <w:rFonts w:ascii="Times New Roman" w:hAnsi="Times New Roman"/>
          <w:sz w:val="20"/>
        </w:rPr>
      </w:pPr>
      <w:r>
        <w:rPr>
          <w:rFonts w:ascii="Times New Roman" w:hAnsi="Times New Roman"/>
          <w:sz w:val="20"/>
        </w:rPr>
        <w:t xml:space="preserve">(ii) the issuance of shares of Class A Common Stock or securities convertible into or exercisable for shares of Class A Common Stock pursuant to the conversion or exchange of convertible or exchangeable securities or the exercise of warrants or options (including net exercise) or the settlement of RSUs (including net settlement), in each case outstanding on the date of this Agreement and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(iii) grants of stock options, stock awards, restricted stock, RSUs, or other equity awards and the issuance of shares of Class A Common Stock or securities convertible into or exercisable or exchangeable for shares of Class A Common Stock (whether upon the exercise of stock options or otherwise) to the Company’s employees, officers, directors, advisors, or consultants pursuant to the terms of an equity compensation plan in effect as of the Closing Date and described in the Registration Statement, the Pricing Disclosure Package and the Prospectus; or </w:t>
      </w:r>
    </w:p>
    <w:p>
      <w:pPr>
        <w:pStyle w:val="TextBody"/>
        <w:bidi w:val="0"/>
        <w:spacing w:before="120" w:after="0"/>
        <w:jc w:val="left"/>
        <w:rPr>
          <w:rFonts w:ascii="Times New Roman" w:hAnsi="Times New Roman"/>
          <w:sz w:val="20"/>
        </w:rPr>
      </w:pPr>
      <w:r>
        <w:rPr>
          <w:rFonts w:ascii="Times New Roman" w:hAnsi="Times New Roman"/>
          <w:sz w:val="20"/>
        </w:rPr>
        <w:t xml:space="preserve">(iv) the filing of any registration statement on Form S-8 relating to securities granted or to be granted pursuant to any plan in effect on the date of this Agreement and described in the Registration Statement, the Pricing Disclosure Package and the Prospectus or any assumed benefit plan pursuant to an acquisition or similar strategic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Stabilization</w:t>
      </w:r>
      <w:r>
        <w:rPr>
          <w:rFonts w:ascii="Times New Roman" w:hAnsi="Times New Roman"/>
          <w:sz w:val="20"/>
        </w:rPr>
        <w:t xml:space="preserve">. Neither the Company nor its subsidiaries or affiliates will take, directly or indirectly, any action designed to or that could reasonably be expected to cause or result in any stabilization or manipulation of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Exchange Listing</w:t>
      </w:r>
      <w:r>
        <w:rPr>
          <w:rFonts w:ascii="Times New Roman" w:hAnsi="Times New Roman"/>
          <w:sz w:val="20"/>
        </w:rPr>
        <w:t xml:space="preserve">. The Company will use its reasonable best efforts to list the Shares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Reports</w:t>
      </w:r>
      <w:r>
        <w:rPr>
          <w:rFonts w:ascii="Times New Roman" w:hAnsi="Times New Roman"/>
          <w:sz w:val="20"/>
        </w:rPr>
        <w:t xml:space="preserve">. For a period of three years from the date of this Agreement, the Company will furnish 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 xml:space="preserve">provided </w:t>
      </w:r>
      <w:r>
        <w:rPr>
          <w:rFonts w:ascii="Times New Roman" w:hAnsi="Times New Roman"/>
          <w:sz w:val="20"/>
        </w:rPr>
        <w:t xml:space="preserve">the Company will be deemed to have furnished such reports and financial statements to the Representatives to the extent they are furnished or filed on the Commission’s EDGAR system.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Further Agreements of the Selling Stockholders</w:t>
      </w:r>
      <w:r>
        <w:rPr>
          <w:rFonts w:ascii="Times New Roman" w:hAnsi="Times New Roman"/>
          <w:sz w:val="20"/>
        </w:rPr>
        <w:t xml:space="preserve">. Each of the Selling Stockholders, severally and not jointly,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Stabilization</w:t>
      </w:r>
      <w:r>
        <w:rPr>
          <w:rFonts w:ascii="Times New Roman" w:hAnsi="Times New Roman"/>
          <w:sz w:val="20"/>
        </w:rPr>
        <w:t xml:space="preserve">. Such Selling Stockholder will not take, directly or indirectly, any action designed to or that could reasonably be expected to cause or result in any stabilization or manipulation of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Form</w:t>
      </w:r>
      <w:r>
        <w:rPr>
          <w:rFonts w:ascii="Times New Roman" w:hAnsi="Times New Roman"/>
          <w:sz w:val="20"/>
        </w:rPr>
        <w:t xml:space="preserve">. Such Selling Stockholder will deliver to the Representatives prior to or at the Closing Date a properly completed and executed United States Treasury Department Form W-9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Use of Proceeds</w:t>
      </w:r>
      <w:r>
        <w:rPr>
          <w:rFonts w:ascii="Times New Roman" w:hAnsi="Times New Roman"/>
          <w:sz w:val="20"/>
        </w:rPr>
        <w:t xml:space="preserve">. Such Selling Stockholder will not directly or indirectly use the proceeds of the offering of the Shares hereunder, or lend, contribute or 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Agreements of the Underwriters</w:t>
      </w:r>
      <w:r>
        <w:rPr>
          <w:rFonts w:ascii="Times New Roman" w:hAnsi="Times New Roman"/>
          <w:sz w:val="20"/>
        </w:rPr>
        <w:t xml:space="preserve">. Each Underwriter hereby severally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w:t>
      </w:r>
      <w:r>
        <w:rPr>
          <w:rFonts w:ascii="Times New Roman" w:hAnsi="Times New Roman"/>
          <w:sz w:val="20"/>
          <w:u w:val="single"/>
        </w:rPr>
        <w:t>Annex A</w:t>
      </w:r>
      <w:r>
        <w:rPr>
          <w:rFonts w:ascii="Times New Roman" w:hAnsi="Times New Roman"/>
          <w:sz w:val="20"/>
        </w:rPr>
        <w:t xml:space="preserve"> or prepared pursuant to </w:t>
      </w:r>
      <w:r>
        <w:rPr>
          <w:rFonts w:ascii="Times New Roman" w:hAnsi="Times New Roman"/>
          <w:sz w:val="20"/>
          <w:u w:val="single"/>
        </w:rPr>
        <w:t>Section 3(c)</w:t>
      </w:r>
      <w:r>
        <w:rPr>
          <w:rFonts w:ascii="Times New Roman" w:hAnsi="Times New Roman"/>
          <w:sz w:val="20"/>
        </w:rPr>
        <w:t xml:space="preserve"> or </w:t>
      </w:r>
      <w:r>
        <w:rPr>
          <w:rFonts w:ascii="Times New Roman" w:hAnsi="Times New Roman"/>
          <w:sz w:val="20"/>
          <w:u w:val="single"/>
        </w:rPr>
        <w:t>Section 4(f)</w:t>
      </w:r>
      <w:r>
        <w:rPr>
          <w:rFonts w:ascii="Times New Roman" w:hAnsi="Times New Roman"/>
          <w:sz w:val="20"/>
        </w:rPr>
        <w:t xml:space="preserve"> above (including any electronic road show), or (iii) any free writing prospectus prepared by such Underwriter and approved by the Company in advance in writing (each such free writing prospectus referred to in clauses (i) or (iii), an “</w:t>
      </w:r>
      <w:r>
        <w:rPr>
          <w:rFonts w:ascii="Times New Roman" w:hAnsi="Times New Roman"/>
          <w:sz w:val="20"/>
          <w:u w:val="single"/>
        </w:rPr>
        <w:t>Underwriter Free Writing Prospectus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hAnsi="Times New Roman"/>
          <w:sz w:val="20"/>
          <w:u w:val="single"/>
        </w:rPr>
        <w:t>provided</w:t>
      </w:r>
      <w:r>
        <w:rPr>
          <w:rFonts w:ascii="Times New Roman" w:hAnsi="Times New Roman"/>
          <w:sz w:val="20"/>
        </w:rPr>
        <w:t xml:space="preserve"> that any Underwriter using such term sheet shall notify the Company, and provide a copy of such term sheet to the Company, prior to, or substantially concurrently with, the first use of such term sheet. </w:t>
      </w:r>
    </w:p>
    <w:p>
      <w:pPr>
        <w:pStyle w:val="TextBody"/>
        <w:bidi w:val="0"/>
        <w:spacing w:before="12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and the Selling Stockholders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Shares on the Closing Date or the Option Shares on the Additional Closing Date, as the case may be, as provided herein is subject to the performance by the Company and each of the Selling Stockholders of their respective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Compliance; No Stop Order</w:t>
      </w:r>
      <w:r>
        <w:rPr>
          <w:rFonts w:ascii="Times New Roman" w:hAnsi="Times New Roman"/>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w:t>
      </w:r>
      <w:r>
        <w:rPr>
          <w:rFonts w:ascii="Times New Roman" w:hAnsi="Times New Roman"/>
          <w:sz w:val="20"/>
          <w:u w:val="single"/>
        </w:rPr>
        <w:t>Section 5(a)</w:t>
      </w:r>
      <w:r>
        <w:rPr>
          <w:rFonts w:ascii="Times New Roman" w:hAnsi="Times New Roman"/>
          <w:sz w:val="20"/>
        </w:rPr>
        <w:t xml:space="preserve"> hereof; and all requests by the Commission for additional information shall have been complied with to the reasonable satisfaction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Representations and Warranties</w:t>
      </w:r>
      <w:r>
        <w:rPr>
          <w:rFonts w:ascii="Times New Roman" w:hAnsi="Times New Roman"/>
          <w:sz w:val="20"/>
        </w:rPr>
        <w:t xml:space="preserve">. The respective representations and warranties of the Company and the Selling Stockholders contained herein shall be true and correct on the date hereof and on and as of the Closing Date or the Additional Closing Date, as the case may be; and the statements of the Company and its officers and the Selling Stockholders and their officers made in any certificates delivered pursuant to this Agreement shall be true and correct on and as of the Closing Date or the Additional Closing Date, as the case may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Change</w:t>
      </w:r>
      <w:r>
        <w:rPr>
          <w:rFonts w:ascii="Times New Roman" w:hAnsi="Times New Roman"/>
          <w:sz w:val="20"/>
        </w:rPr>
        <w:t xml:space="preserve">. No event or condition of a type described in </w:t>
      </w:r>
      <w:r>
        <w:rPr>
          <w:rFonts w:ascii="Times New Roman" w:hAnsi="Times New Roman"/>
          <w:sz w:val="20"/>
          <w:u w:val="single"/>
        </w:rPr>
        <w:t>Section 3(h)</w:t>
      </w:r>
      <w:r>
        <w:rPr>
          <w:rFonts w:ascii="Times New Roman" w:hAnsi="Times New Roman"/>
          <w:sz w:val="20"/>
        </w:rPr>
        <w:t xml:space="preserve">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Representatives shall have received on and as of the Closing Date or the Additional Closing Date, as the case may be, (x) a certificate of the chief financial officer, chief accounting officer or manager of each Hagerty Party and one additional senior executive officer of each Hagerty Party who is reasonably satisfactory to the Representatives on behalf of the Hagerty Parties and not in their personal capacities (i) confirming that such officers have carefully reviewed the Registration Statement, the Pricing Disclosure Package and the Prospectus and, to the knowledge of such officers, the representations of each Hagerty Party set forth in </w:t>
      </w:r>
      <w:r>
        <w:rPr>
          <w:rFonts w:ascii="Times New Roman" w:hAnsi="Times New Roman"/>
          <w:sz w:val="20"/>
          <w:u w:val="single"/>
        </w:rPr>
        <w:t>Sections 3(b)</w:t>
      </w:r>
      <w:r>
        <w:rPr>
          <w:rFonts w:ascii="Times New Roman" w:hAnsi="Times New Roman"/>
          <w:sz w:val="20"/>
        </w:rPr>
        <w:t xml:space="preserve"> and </w:t>
      </w:r>
      <w:r>
        <w:rPr>
          <w:rFonts w:ascii="Times New Roman" w:hAnsi="Times New Roman"/>
          <w:sz w:val="20"/>
          <w:u w:val="single"/>
        </w:rPr>
        <w:t>3(e)</w:t>
      </w:r>
      <w:r>
        <w:rPr>
          <w:rFonts w:ascii="Times New Roman" w:hAnsi="Times New Roman"/>
          <w:sz w:val="20"/>
        </w:rPr>
        <w:t xml:space="preserve"> hereof are true and correct, (ii) confirming that the other representations and warranties of each Hagerty Party in this Agreement are true and correct and that Hagerty Party has complied with all agreements and satisfied all conditions on its part to be performed or satisfied hereunder at or prior to the Closing Date or the Additional Closing Date, as the case may be, and (iii) to the effect set forth in paragraphs (a) and (c) above and (y) a certificate of each of the Selling Stockholders, in form and substance reasonably satisfactory to the Representatives, (i) confirming that the representations of such Selling Stockholder set forth in </w:t>
      </w:r>
      <w:r>
        <w:rPr>
          <w:rFonts w:ascii="Times New Roman" w:hAnsi="Times New Roman"/>
          <w:sz w:val="20"/>
          <w:u w:val="single"/>
        </w:rPr>
        <w:t>Sections 4(e)</w:t>
      </w:r>
      <w:r>
        <w:rPr>
          <w:rFonts w:ascii="Times New Roman" w:hAnsi="Times New Roman"/>
          <w:sz w:val="20"/>
        </w:rPr>
        <w:t xml:space="preserve"> and </w:t>
      </w:r>
      <w:r>
        <w:rPr>
          <w:rFonts w:ascii="Times New Roman" w:hAnsi="Times New Roman"/>
          <w:sz w:val="20"/>
          <w:u w:val="single"/>
        </w:rPr>
        <w:t>4(f)</w:t>
      </w:r>
      <w:r>
        <w:rPr>
          <w:rFonts w:ascii="Times New Roman" w:hAnsi="Times New Roman"/>
          <w:sz w:val="20"/>
        </w:rPr>
        <w:t xml:space="preserve"> hereof is true and correct and (ii) confirming that the other representations and warranties of such Selling Stockholder in this Agreement are true and correct and that such Selling Stockholder has complied with all agreements and satisfied all conditions on its part to be performed or satisfied hereunder at or prior to such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Comfort Letters and CFO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 the date of this Agreement and on the Closing Date or the Additional Closing Date, as the case may be, 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w:t>
      </w:r>
      <w:r>
        <w:rPr>
          <w:rFonts w:ascii="Times New Roman" w:hAnsi="Times New Roman"/>
          <w:sz w:val="20"/>
          <w:u w:val="single"/>
        </w:rPr>
        <w:t>provided</w:t>
      </w:r>
      <w:r>
        <w:rPr>
          <w:rFonts w:ascii="Times New Roman" w:hAnsi="Times New Roman"/>
          <w:sz w:val="20"/>
        </w:rPr>
        <w:t xml:space="preserve">, that the letter delivered on the Closing Date or the Additional Closing Date, as the case may be, shall use a “cut-off” date no more than two business days prior to such Closing Date or such Additional Closing Date, as the case may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Opinion and Negative Assurance Letter of Counsel for the Company</w:t>
      </w:r>
      <w:r>
        <w:rPr>
          <w:rFonts w:ascii="Times New Roman" w:hAnsi="Times New Roman"/>
          <w:sz w:val="20"/>
        </w:rPr>
        <w:t xml:space="preserve">. DLA Piper LLP (US), counsel for the Company, shall have furnished to the Representatives, at the request of the Company, their written opinion and negative assurance letter, dated the Closing Date or the Additional Closing Date, as the case may be, and addressed to the Underwriters,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Counsel for the Selling Stockholders</w:t>
      </w:r>
      <w:r>
        <w:rPr>
          <w:rFonts w:ascii="Times New Roman" w:hAnsi="Times New Roman"/>
          <w:sz w:val="20"/>
        </w:rPr>
        <w:t xml:space="preserve">. Barack Ferrazzano Kirschbaum &amp; Nagelberg LLP, counsel for the Selling Stockholders, shall have furnished to the Representatives, at the request of the Selling Stockholders, their written opinion, dated the Closing Date or the Additional Closing Date, as the case may be, and addressed to the Underwriters,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Opinion and Negative Assurance Letter of Counsel for the Underwriters</w:t>
      </w:r>
      <w:r>
        <w:rPr>
          <w:rFonts w:ascii="Times New Roman" w:hAnsi="Times New Roman"/>
          <w:sz w:val="20"/>
        </w:rPr>
        <w:t xml:space="preserve">. The Representatives shall have received on and as of the Closing Date or the Additional Closing Date, as the case may be, an opinion and negative assurance letter, addressed to the Underwriters, of Skadden, Arps, Slate, Meagher &amp; Flom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Legal Impediment to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sale of the Shares; and no injunction or order of any federal, state or foreign court shall have been issued that would, as of the Closing Date or the Additional Closing Date, as the case may be, prevent the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Good Standing</w:t>
      </w:r>
      <w:r>
        <w:rPr>
          <w:rFonts w:ascii="Times New Roman" w:hAnsi="Times New Roman"/>
          <w:sz w:val="20"/>
        </w:rPr>
        <w:t xml:space="preserve">. The Representatives shall have received on and as of the Closing Date or the Additional Closing Date, as the case may 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Exchange Listing</w:t>
      </w:r>
      <w:r>
        <w:rPr>
          <w:rFonts w:ascii="Times New Roman" w:hAnsi="Times New Roman"/>
          <w:sz w:val="20"/>
        </w:rPr>
        <w:t xml:space="preserve">. The Shares to be delivered on the Closing Date or the Additional Closing Date, as the case may be, shall have been approved for listing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Lock-up Agreements</w:t>
      </w:r>
      <w:r>
        <w:rPr>
          <w:rFonts w:ascii="Times New Roman" w:hAnsi="Times New Roman"/>
          <w:sz w:val="20"/>
        </w:rPr>
        <w:t xml:space="preserve">. The “lock-up” agreements, each substantially in the form of </w:t>
      </w:r>
      <w:r>
        <w:rPr>
          <w:rFonts w:ascii="Times New Roman" w:hAnsi="Times New Roman"/>
          <w:sz w:val="20"/>
          <w:u w:val="single"/>
        </w:rPr>
        <w:t>Exhibit A</w:t>
      </w:r>
      <w:r>
        <w:rPr>
          <w:rFonts w:ascii="Times New Roman" w:hAnsi="Times New Roman"/>
          <w:sz w:val="20"/>
        </w:rPr>
        <w:t xml:space="preserve"> hereto, between you and certain shareholders, officers and directors of the Company, including the Selling Stockholders, Markel Group, Inc. and State Farm Mutual Automobile Insurance Company, relating to sales and certain other dispositions of shares of Capital Stock or certain other securities, delivered to you on or before the date hereof, shall be in full force and effect on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Additional Documents</w:t>
      </w:r>
      <w:r>
        <w:rPr>
          <w:rFonts w:ascii="Times New Roman" w:hAnsi="Times New Roman"/>
          <w:sz w:val="20"/>
        </w:rPr>
        <w:t xml:space="preserve">. On or prior to the Closing Date or the Additional Closing Date, as the case may be, the Hagerty Parties and the Selling Stockholders shall have furnished to the Representatives such further certificates and documents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of the Underwriters and the Selling Stockholders by the Company</w:t>
      </w:r>
      <w:r>
        <w:rPr>
          <w:rFonts w:ascii="Times New Roman" w:hAnsi="Times New Roman"/>
          <w:sz w:val="20"/>
        </w:rPr>
        <w:t>. Each Hagerty Party agrees, jointly and severally, to indemnify and hold harmless each Underwriter and each Selling Stockholder, their respective affiliates, directors and officers and each person, if any, who controls such Underwriter or such Selling Stockholder within the meaning of Section 15 of the Securities Act or Section 20 of the Exchange Act, from and against any and all losses, claims, damages and liabilities (including, without limitation, reasonably incurred legal fees and other expenses reasonably incurred in connection with any suit, action or proceeding or any claim asserted, promptly after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w:t>
      </w:r>
      <w:r>
        <w:rPr>
          <w:rFonts w:ascii="Times New Roman" w:hAnsi="Times New Roman"/>
          <w:sz w:val="20"/>
          <w:u w:val="single"/>
        </w:rPr>
        <w:t>road show</w:t>
      </w:r>
      <w:r>
        <w:rPr>
          <w:rFonts w:ascii="Times New Roman" w:hAnsi="Times New Roman"/>
          <w:sz w:val="20"/>
        </w:rPr>
        <w:t xml:space="preserve">”)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(i) with respect to any Underwriter, any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 or (ii) with respect to any Selling Stockholder, such Selling Stockholder’s Selling Stockholder Information.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of the Hagerty Parties and the Underwriters by the Selling Stockholders</w:t>
      </w:r>
      <w:r>
        <w:rPr>
          <w:rFonts w:ascii="Times New Roman" w:hAnsi="Times New Roman"/>
          <w:sz w:val="20"/>
        </w:rPr>
        <w:t xml:space="preserve">. Each of the Selling Stockholders, severally and not jointly, in proportion to the number of Shares to be sold by such Selling Stockholder hereunder, agrees to indemnify and hold harmless the Hagerty Parties and each Underwriter, its affiliates, directors and officers and each person, if any, who controls such Underwriter within the meaning of Section 15 of the Securities Act or Section 20 of the Exchange Act to the same extent as the indemnity set forth in paragraph (a) above, but only with respect to, in each case, any such losses, claims, damages and liabilities that arise out of, or are based upon, any untrue statement or omission or alleged untrue statement or omission made in reliance upon and in conformity with any such Selling Stockholder’s Selling Stockholder Information; </w:t>
      </w:r>
      <w:r>
        <w:rPr>
          <w:rFonts w:ascii="Times New Roman" w:hAnsi="Times New Roman"/>
          <w:sz w:val="20"/>
          <w:u w:val="single"/>
        </w:rPr>
        <w:t>provided</w:t>
      </w:r>
      <w:r>
        <w:rPr>
          <w:rFonts w:ascii="Times New Roman" w:hAnsi="Times New Roman"/>
          <w:sz w:val="20"/>
        </w:rPr>
        <w:t xml:space="preserve">, however, that the aggregate amount of each Selling Stockholder’s liability pursuant to this </w:t>
      </w:r>
      <w:r>
        <w:rPr>
          <w:rFonts w:ascii="Times New Roman" w:hAnsi="Times New Roman"/>
          <w:sz w:val="20"/>
          <w:u w:val="single"/>
        </w:rPr>
        <w:t>Section 9</w:t>
      </w:r>
      <w:r>
        <w:rPr>
          <w:rFonts w:ascii="Times New Roman" w:hAnsi="Times New Roman"/>
          <w:sz w:val="20"/>
        </w:rPr>
        <w:t xml:space="preserve"> shall not exceed the aggregate amount of net proceeds (after deducting underwriting commissions but before deducting expenses) received by such Selling Stockholder from the sale of its Shares 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Indemnification of the Hagerty Parties and the Selling Stockholders by the Underwriters</w:t>
      </w:r>
      <w:r>
        <w:rPr>
          <w:rFonts w:ascii="Times New Roman" w:hAnsi="Times New Roman"/>
          <w:sz w:val="20"/>
        </w:rPr>
        <w:t xml:space="preserve">. Each Underwriter agrees, severally and not jointly, to indemnify and hold harmless each Hagerty Party, the directors of the Company, its officers who signed the Registration Statement, the Selling Stockholders and each person, if any, who controls the Company or any Selling Stockholder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Preliminary Prospectus and the Prospectus furnished on behalf of each Underwriter: the concession and reallowance figures appearing in the third paragraph under the caption “Underwriting,” the information concerning stabilization contained in the twelfth and thirteenth paragraphs under the caption “Underwriting.”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w:t>
      </w:r>
      <w:r>
        <w:rPr>
          <w:rFonts w:ascii="Times New Roman" w:hAnsi="Times New Roman"/>
          <w:sz w:val="20"/>
          <w:u w:val="single"/>
        </w:rPr>
        <w:t>Section 9</w:t>
      </w:r>
      <w:r>
        <w:rPr>
          <w:rFonts w:ascii="Times New Roman" w:hAnsi="Times New Roman"/>
          <w:sz w:val="20"/>
        </w:rPr>
        <w:t>, such person (the “</w:t>
      </w:r>
      <w:r>
        <w:rPr>
          <w:rFonts w:ascii="Times New Roman" w:hAnsi="Times New Roman"/>
          <w:sz w:val="20"/>
          <w:u w:val="single"/>
        </w:rPr>
        <w:t>Indemnified Person</w:t>
      </w:r>
      <w:r>
        <w:rPr>
          <w:rFonts w:ascii="Times New Roman" w:hAnsi="Times New Roman"/>
          <w:sz w:val="20"/>
        </w:rPr>
        <w:t xml:space="preserve">”) shall promptly notify the person against whom such indemnification may be sought (the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Indemnifying Person</w:t>
      </w:r>
      <w:r>
        <w:rPr>
          <w:rFonts w:ascii="Times New Roman" w:hAnsi="Times New Roman"/>
          <w:sz w:val="20"/>
        </w:rPr>
        <w:t xml:space="preserve">”)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w:t>
      </w:r>
      <w:r>
        <w:rPr>
          <w:rFonts w:ascii="Times New Roman" w:hAnsi="Times New Roman"/>
          <w:sz w:val="20"/>
          <w:u w:val="single"/>
        </w:rPr>
        <w:t>Section 9</w:t>
      </w:r>
      <w:r>
        <w:rPr>
          <w:rFonts w:ascii="Times New Roman" w:hAnsi="Times New Roman"/>
          <w:sz w:val="20"/>
        </w:rPr>
        <w:t xml:space="preserve"> except to the extent that it has been materially prejudiced (through the forfeiture of substantive rights or defenses) by such failure; and </w:t>
      </w:r>
      <w:r>
        <w:rPr>
          <w:rFonts w:ascii="Times New Roman" w:hAnsi="Times New Roman"/>
          <w:sz w:val="20"/>
          <w:u w:val="single"/>
        </w:rPr>
        <w:t>provided, 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w:t>
      </w:r>
      <w:r>
        <w:rPr>
          <w:rFonts w:ascii="Times New Roman" w:hAnsi="Times New Roman"/>
          <w:sz w:val="20"/>
          <w:u w:val="single"/>
        </w:rPr>
        <w:t>Section 9</w:t>
      </w:r>
      <w:r>
        <w:rPr>
          <w:rFonts w:ascii="Times New Roman" w:hAnsi="Times New Roman"/>
          <w:sz w:val="20"/>
        </w:rPr>
        <w:t xml:space="preser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fees and expenses in such proceeding and shall pay the reasonably incurred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reasonably incurred fees and expenses of more than one separate firm (in addition to any local counsel) for all Indemnified Persons, and that all such reasonably incurred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Hagerty Parties, the directors of the Company, its officers who signed the Registration Statement and any control persons of the Company shall be designated in writing by the Company and any such separate firm for the Selling Stockholders and any control persons of the Selling Stockholders shall be designated in writing by the Selling Stockholders. The Indemnifying Person shall not be liable for any settlement of any proceeding effected without its written consent (which shall not be unreasonably withheld, delayed or conditioned),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45 days after receipt by the Indemnifying Person of such request and (ii) the Indemnifying Person shall not have reimbursed the Indemnified Person in accordance with such request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If the indemnification provided for in paragraphs (a), (b) or (c)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Hagerty Parties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Hagerty Parties and the Selling Stockholders, on the one hand, and the Underwriters, on the other, in connection with the statements or omissions that resulted in such losses, claims, damages or liabilities, as well as any other relevant equitable considerations. The relative benefits received by the Hagerty Parties and the Selling Stockholders, on the one hand, and the Underwriters, on the other, shall be deemed to be in the same respective proportions as the net proceeds (after deducting underwriting commissions and discounts but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Hagerty Parties and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Hagerty Parties and the Selling Stockholders or by the Underwriters, and the parties’ relative intent, knowledge, access to information and opportunity to correct or prevent such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Limitation on Liability</w:t>
      </w:r>
      <w:r>
        <w:rPr>
          <w:rFonts w:ascii="Times New Roman" w:hAnsi="Times New Roman"/>
          <w:sz w:val="20"/>
        </w:rPr>
        <w:t xml:space="preserve">. The Hagerty Parties, the Selling Stockholders and the Underwriters agree that it would not be just and equitable if contribution pursuant to paragraph (e) above were determined by pro rata allocation (even if the Selling Stockholders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reasonably incurred legal or other expenses incurred by such Indemnified Person in connection with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 and the Selling Stockholders’ obligations to contribute pursuant to paragraphs (e) and (f) are several and not joint. Notwithstanding anything herein to the contrary, the aggregate amount of each Selling Stockholder’s liability pursuant to this </w:t>
      </w:r>
      <w:r>
        <w:rPr>
          <w:rFonts w:ascii="Times New Roman" w:hAnsi="Times New Roman"/>
          <w:sz w:val="20"/>
          <w:u w:val="single"/>
        </w:rPr>
        <w:t>Section 9</w:t>
      </w:r>
      <w:r>
        <w:rPr>
          <w:rFonts w:ascii="Times New Roman" w:hAnsi="Times New Roman"/>
          <w:sz w:val="20"/>
        </w:rPr>
        <w:t xml:space="preserve"> shall not exceed the aggregate amount of net proceeds (after deducting underwriting commissions but before deducting expenses) received by such Selling Stockholder from the sale of its Shares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Non-Exclusive Remedies</w:t>
      </w:r>
      <w:r>
        <w:rPr>
          <w:rFonts w:ascii="Times New Roman" w:hAnsi="Times New Roman"/>
          <w:sz w:val="20"/>
        </w:rPr>
        <w:t xml:space="preserve">. The remedies provided for in this </w:t>
      </w:r>
      <w:r>
        <w:rPr>
          <w:rFonts w:ascii="Times New Roman" w:hAnsi="Times New Roman"/>
          <w:sz w:val="20"/>
          <w:u w:val="single"/>
        </w:rPr>
        <w:t>Section 9</w:t>
      </w:r>
      <w:r>
        <w:rPr>
          <w:rFonts w:ascii="Times New Roman" w:hAnsi="Times New Roman"/>
          <w:sz w:val="20"/>
        </w:rPr>
        <w:t xml:space="preserve"> paragraphs (a) through (f)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written notice to the Company and the Selling Stockholders,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arrange for the purchase of such Shares, then the Company and the Selling Stockholders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w:t>
      </w:r>
      <w:r>
        <w:rPr>
          <w:rFonts w:ascii="Times New Roman" w:hAnsi="Times New Roman"/>
          <w:sz w:val="20"/>
          <w:u w:val="single"/>
        </w:rPr>
        <w:t>Schedule 1</w:t>
      </w:r>
      <w:r>
        <w:rPr>
          <w:rFonts w:ascii="Times New Roman" w:hAnsi="Times New Roman"/>
          <w:sz w:val="20"/>
        </w:rPr>
        <w:t xml:space="preserve"> hereto that, pursuant to this </w:t>
      </w:r>
      <w:r>
        <w:rPr>
          <w:rFonts w:ascii="Times New Roman" w:hAnsi="Times New Roman"/>
          <w:sz w:val="20"/>
          <w:u w:val="single"/>
        </w:rPr>
        <w:t>Section 12</w:t>
      </w:r>
      <w:r>
        <w:rPr>
          <w:rFonts w:ascii="Times New Roman" w:hAnsi="Times New Roman"/>
          <w:sz w:val="20"/>
        </w:rPr>
        <w:t xml:space="preserve">, purchases Shares that a defaulting Underwriter agreed but failed to purchase. </w:t>
      </w:r>
    </w:p>
    <w:p>
      <w:pPr>
        <w:pStyle w:val="TextBody"/>
        <w:bidi w:val="0"/>
        <w:spacing w:before="12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 </w:t>
      </w:r>
    </w:p>
    <w:p>
      <w:pPr>
        <w:pStyle w:val="TextBody"/>
        <w:bidi w:val="0"/>
        <w:spacing w:before="12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w:t>
      </w:r>
      <w:r>
        <w:rPr>
          <w:rFonts w:ascii="Times New Roman" w:hAnsi="Times New Roman"/>
          <w:sz w:val="20"/>
          <w:u w:val="single"/>
        </w:rPr>
        <w:t>Section 12</w:t>
      </w:r>
      <w:r>
        <w:rPr>
          <w:rFonts w:ascii="Times New Roman" w:hAnsi="Times New Roman"/>
          <w:sz w:val="20"/>
        </w:rPr>
        <w:t xml:space="preserve"> shall be without liability on the part of the Hagerty Parties and the Selling Stockholders, except that each Hagerty Party and the Selling Stockholders will continue to be liable for the payment of expenses as set forth in </w:t>
      </w:r>
      <w:r>
        <w:rPr>
          <w:rFonts w:ascii="Times New Roman" w:hAnsi="Times New Roman"/>
          <w:sz w:val="20"/>
          <w:u w:val="single"/>
        </w:rPr>
        <w:t>Section 13</w:t>
      </w:r>
      <w:r>
        <w:rPr>
          <w:rFonts w:ascii="Times New Roman" w:hAnsi="Times New Roman"/>
          <w:sz w:val="20"/>
        </w:rPr>
        <w:t xml:space="preserve"> hereof and except that the provisions of </w:t>
      </w:r>
      <w:r>
        <w:rPr>
          <w:rFonts w:ascii="Times New Roman" w:hAnsi="Times New Roman"/>
          <w:sz w:val="20"/>
          <w:u w:val="single"/>
        </w:rPr>
        <w:t>Section 9</w:t>
      </w:r>
      <w:r>
        <w:rPr>
          <w:rFonts w:ascii="Times New Roman" w:hAnsi="Times New Roman"/>
          <w:sz w:val="20"/>
        </w:rPr>
        <w:t xml:space="preserve"> hereof shall not terminate and shall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Hagerty Parties, the Selling Stockholders or any non-defaulting Underwriter for damages caused by its default.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Hagerty Parties will, jointly and severally, pay or cause to be paid all costs and expenses incident to the performance of its and the Selling Stockholders’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reasonably incurred fees and expenses of the Company’s counsel and independent accountants; (iv) the reasonable and documented fees and expenses of one counsel to the Selling Stockholders; (v) the reasonable and documented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reasonably incurred related fees and expenses of counsel for the Underwriters); (vi) the cost of preparing stock certificates; (vii) the costs and charges of any transfer agent and any registrar; (viii) all expenses and application fees incurred in connection with any filing with, and clearance of the offering by, FINRA, </w:t>
      </w:r>
      <w:r>
        <w:rPr>
          <w:rFonts w:ascii="Times New Roman" w:hAnsi="Times New Roman"/>
          <w:sz w:val="20"/>
          <w:u w:val="single"/>
        </w:rPr>
        <w:t>provided</w:t>
      </w:r>
      <w:r>
        <w:rPr>
          <w:rFonts w:ascii="Times New Roman" w:hAnsi="Times New Roman"/>
          <w:sz w:val="20"/>
        </w:rPr>
        <w:t xml:space="preserve"> that the fees and expenses pursuant to clauses (v) and (viii) shall not, in the aggregate, exceed $25,000; (ix) all expenses incurred by the Company in connection with any “road show” presentation to potential investors; and (x) all expenses and application fees related to the listing of the Shares on the New York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pursuant to </w:t>
      </w:r>
      <w:r>
        <w:rPr>
          <w:rFonts w:ascii="Times New Roman" w:hAnsi="Times New Roman"/>
          <w:sz w:val="20"/>
          <w:u w:val="single"/>
        </w:rPr>
        <w:t>Section 11</w:t>
      </w:r>
      <w:r>
        <w:rPr>
          <w:rFonts w:ascii="Times New Roman" w:hAnsi="Times New Roman"/>
          <w:sz w:val="20"/>
        </w:rPr>
        <w:t xml:space="preserve">, (ii) the Selling Stockholders for any reason fail to tender the Shares for delivery to the Underwriters or (iii) the Underwriters decline to purchase the Shares for any reason permitted under this Agreement, each Hagerty Party agrees to reimburse the Underwriters for all out-of-pocket costs and expenses (including the fees and expenses of their counsel) reasonably incurred by the Underwriters in connection with this Agreement and the offering contemplated hereby; </w:t>
      </w:r>
      <w:r>
        <w:rPr>
          <w:rFonts w:ascii="Times New Roman" w:hAnsi="Times New Roman"/>
          <w:sz w:val="20"/>
          <w:u w:val="single"/>
        </w:rPr>
        <w:t>provided</w:t>
      </w:r>
      <w:r>
        <w:rPr>
          <w:rFonts w:ascii="Times New Roman" w:hAnsi="Times New Roman"/>
          <w:sz w:val="20"/>
        </w:rPr>
        <w:t xml:space="preserve"> that in the case of a termination pursuant to </w:t>
      </w:r>
      <w:r>
        <w:rPr>
          <w:rFonts w:ascii="Times New Roman" w:hAnsi="Times New Roman"/>
          <w:sz w:val="20"/>
          <w:u w:val="single"/>
        </w:rPr>
        <w:t>Section 12(c)</w:t>
      </w:r>
      <w:r>
        <w:rPr>
          <w:rFonts w:ascii="Times New Roman" w:hAnsi="Times New Roman"/>
          <w:sz w:val="20"/>
        </w:rPr>
        <w:t xml:space="preserve"> hereto, the Company shall only reimburse the non-defaulting Underwriters.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w:t>
      </w:r>
      <w:r>
        <w:rPr>
          <w:rFonts w:ascii="Times New Roman" w:hAnsi="Times New Roman"/>
          <w:sz w:val="20"/>
          <w:u w:val="single"/>
        </w:rPr>
        <w:t>Section 9</w:t>
      </w:r>
      <w:r>
        <w:rPr>
          <w:rFonts w:ascii="Times New Roman" w:hAnsi="Times New Roman"/>
          <w:sz w:val="20"/>
        </w:rPr>
        <w:t xml:space="preserve">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Hagerty Parties, the Selling Stockholders and the Underwriters contained in this Agreement or made by or on behalf of the Hagerty Parties,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Hagerty Parties, the Selling Stockholders or the Underwriters or the directors, officers, controlling persons or affiliates referred to in </w:t>
      </w:r>
      <w:r>
        <w:rPr>
          <w:rFonts w:ascii="Times New Roman" w:hAnsi="Times New Roman"/>
          <w:sz w:val="20"/>
          <w:u w:val="single"/>
        </w:rPr>
        <w:t>Section 9</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w:t>
      </w:r>
    </w:p>
    <w:p>
      <w:pPr>
        <w:pStyle w:val="TextBody"/>
        <w:bidi w:val="0"/>
        <w:spacing w:before="120" w:after="0"/>
        <w:jc w:val="left"/>
        <w:rPr>
          <w:rFonts w:ascii="Times New Roman" w:hAnsi="Times New Roman"/>
          <w:sz w:val="20"/>
        </w:rPr>
      </w:pPr>
      <w:r>
        <w:rPr>
          <w:rFonts w:ascii="Times New Roman" w:hAnsi="Times New Roman"/>
          <w:sz w:val="20"/>
        </w:rPr>
        <w:t xml:space="preserve">(i) Notices to the Underwriters shall be given to the Representatives c/o Wells Fargo Securities, LLC, 500 West 33rd Street, 14th Floor, New York, New York 10001 and J.P. Morgan Securities LLC, 270 Park Avenue, New York, New York 10179, with a copy to Skadden, Arps, Slate, Meagher &amp; Flom LLP, One Manhattan West, New York, New York 10001; Attention: Dwight S. Yoo and Michael P. Reed. </w:t>
      </w:r>
    </w:p>
    <w:p>
      <w:pPr>
        <w:pStyle w:val="TextBody"/>
        <w:bidi w:val="0"/>
        <w:spacing w:before="120" w:after="0"/>
        <w:jc w:val="left"/>
        <w:rPr>
          <w:rFonts w:ascii="Times New Roman" w:hAnsi="Times New Roman"/>
          <w:sz w:val="20"/>
        </w:rPr>
      </w:pPr>
      <w:r>
        <w:rPr>
          <w:rFonts w:ascii="Times New Roman" w:hAnsi="Times New Roman"/>
          <w:sz w:val="20"/>
        </w:rPr>
        <w:t xml:space="preserve">(ii) Notices to the Company shall be given to it at 121 Drivers Edge, Traverse City, Michigan 49684; Attention: McKeel Hagerty, Mark Elliot and Patrick McClymont, with a copy to DLA Piper LLP (US), 2525 East Camelback Road, Suite 1000, Phoenix, Arizona 85016-4232; Attention: Kevin Criddle and Andrew Ledbetter. </w:t>
      </w:r>
    </w:p>
    <w:p>
      <w:pPr>
        <w:pStyle w:val="TextBody"/>
        <w:bidi w:val="0"/>
        <w:spacing w:before="120" w:after="0"/>
        <w:jc w:val="left"/>
        <w:rPr>
          <w:rFonts w:ascii="Times New Roman" w:hAnsi="Times New Roman"/>
          <w:sz w:val="20"/>
        </w:rPr>
      </w:pPr>
      <w:r>
        <w:rPr>
          <w:rFonts w:ascii="Times New Roman" w:hAnsi="Times New Roman"/>
          <w:sz w:val="20"/>
        </w:rPr>
        <w:t xml:space="preserve">(iii) Notices to the Selling Stockholders shall be given to the Selling Stockholders at 175 Wilson Road, Traverse City, MI 49686; with a copy to Barack Ferrazzano Kirschbaum &amp; Nagelberg LLP, 200 W Madison St, Suite 3900, Chicago, IL 60606; Attention: Bill Fay and Robert Fleetwood.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Submission to Jurisdiction</w:t>
      </w:r>
      <w:r>
        <w:rPr>
          <w:rFonts w:ascii="Times New Roman" w:hAnsi="Times New Roman"/>
          <w:sz w:val="20"/>
        </w:rPr>
        <w:t xml:space="preserve">. Each of the Hagerty Parties, the Selling Stockholders and the Underwriters hereby submits to the exclusive jurisdiction of the U.S. federal and New York state courts in the Borough of Manhattan in The City of New York in any suit or proceeding arising out of or relating to this Agreement or the transactions contemplated hereby. Each of the Hagerty Parties, the Selling Stockholders and the Underwriters waives any objection which it may now or hereafter have to the laying of venue of any such suit or proceeding in such courts. Each of the Hagerty Parties, the Selling Stockholders and the Underwriters agrees that final judgment in any such suit, action or proceeding brought in such court shall be conclusive and binding upon the Hagerty Parties, each Selling Stockholder and each Underwriter, as applicable, and may be enforced in any court to the jurisdiction of which each of the Hagerty Parties, each Selling Stockholder and each Underwriter, as applicable, is subject by a suit upon such judgment.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w:t>
      </w:r>
      <w:r>
        <w:rPr>
          <w:rFonts w:ascii="Times New Roman" w:hAnsi="Times New Roman"/>
          <w:sz w:val="20"/>
          <w:u w:val="single"/>
        </w:rPr>
        <w:t>Section 18(e)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This Agreement may be signed in two or more counterparts (which may include counterparts delivered by any standard form of telecommunication), each of which shall be an original, with the same effect as if the signatures thereto and hereto were upon the same instrument. Counterparts may be delivered via facsimile, electronic mail (including any electronic signature covered by the United States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2"/>
        <w:gridCol w:w="60"/>
        <w:gridCol w:w="3680"/>
      </w:tblGrid>
      <w:tr>
        <w:trPr/>
        <w:tc>
          <w:tcPr>
            <w:tcW w:w="3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HAGERTY, INC.</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McClymont</w:t>
            </w:r>
          </w:p>
        </w:tc>
      </w:tr>
      <w:tr>
        <w:trPr/>
        <w:tc>
          <w:tcPr>
            <w:tcW w:w="3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Name: Patrick McClymont</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HAGERTY GROUP, LLC</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Hagerty, Inc.</w:t>
            </w:r>
          </w:p>
        </w:tc>
      </w:tr>
      <w:tr>
        <w:trPr/>
        <w:tc>
          <w:tcPr>
            <w:tcW w:w="4082" w:type="dxa"/>
            <w:gridSpan w:val="3"/>
            <w:tcBorders/>
          </w:tcPr>
          <w:p>
            <w:pPr>
              <w:pStyle w:val="TableContents"/>
              <w:bidi w:val="0"/>
              <w:spacing w:before="0" w:after="283"/>
              <w:jc w:val="left"/>
              <w:rPr/>
            </w:pPr>
            <w:r>
              <w:rPr/>
              <w:t>Its: Managing Member</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McClymont</w:t>
            </w:r>
          </w:p>
        </w:tc>
      </w:tr>
      <w:tr>
        <w:trPr/>
        <w:tc>
          <w:tcPr>
            <w:tcW w:w="3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Name: Patrick McClymont</w:t>
            </w:r>
          </w:p>
        </w:tc>
      </w:tr>
      <w:tr>
        <w:trPr/>
        <w:tc>
          <w:tcPr>
            <w:tcW w:w="34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HAGERTY HOLDING CORP.</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Jessica Sullivan</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Name: Jessica Sullivan</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Title: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2"/>
        <w:gridCol w:w="60"/>
        <w:gridCol w:w="367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For itself and on behalf of the several Underwriters listed in </w:t>
            </w:r>
            <w:r>
              <w:rPr>
                <w:u w:val="single"/>
              </w:rPr>
              <w:t>Schedule 1</w:t>
            </w:r>
            <w:r>
              <w:rPr/>
              <w:t xml:space="preserve"> hereto.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SECURITIES, LLC</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Cohen</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Jaime Cohen</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Apporva Ramesh</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Apoorva Ramesh</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7"/>
        <w:gridCol w:w="224"/>
        <w:gridCol w:w="81"/>
        <w:gridCol w:w="1364"/>
        <w:gridCol w:w="60"/>
        <w:gridCol w:w="224"/>
        <w:gridCol w:w="60"/>
        <w:gridCol w:w="991"/>
        <w:gridCol w:w="64"/>
      </w:tblGrid>
      <w:tr>
        <w:trPr/>
        <w:tc>
          <w:tcPr>
            <w:tcW w:w="713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1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24"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Underwritten</w:t>
              <w:br/>
              <w:t>Shares</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w:t>
              <w:br/>
              <w:t>Shares</w:t>
            </w:r>
          </w:p>
        </w:tc>
        <w:tc>
          <w:tcPr>
            <w:tcW w:w="64"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2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3,107,422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466,113</w:t>
            </w:r>
          </w:p>
        </w:tc>
        <w:tc>
          <w:tcPr>
            <w:tcW w:w="64"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3,107,422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466,113</w:t>
            </w:r>
          </w:p>
        </w:tc>
        <w:tc>
          <w:tcPr>
            <w:tcW w:w="64" w:type="dxa"/>
            <w:tcBorders/>
            <w:vAlign w:val="bottom"/>
          </w:tcPr>
          <w:p>
            <w:pPr>
              <w:pStyle w:val="TableContents"/>
              <w:bidi w:val="0"/>
              <w:spacing w:before="0" w:after="283"/>
              <w:jc w:val="left"/>
              <w:rPr>
                <w:sz w:val="4"/>
                <w:szCs w:val="4"/>
              </w:rPr>
            </w:pPr>
            <w:r>
              <w:rPr>
                <w:sz w:val="4"/>
                <w:szCs w:val="4"/>
              </w:rPr>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22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953,906</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143,085</w:t>
            </w:r>
          </w:p>
        </w:tc>
        <w:tc>
          <w:tcPr>
            <w:tcW w:w="64"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693,750</w:t>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104,063</w:t>
            </w:r>
          </w:p>
        </w:tc>
        <w:tc>
          <w:tcPr>
            <w:tcW w:w="64" w:type="dxa"/>
            <w:tcBorders/>
            <w:vAlign w:val="bottom"/>
          </w:tcPr>
          <w:p>
            <w:pPr>
              <w:pStyle w:val="TableContents"/>
              <w:bidi w:val="0"/>
              <w:spacing w:before="0" w:after="283"/>
              <w:jc w:val="left"/>
              <w:rPr>
                <w:sz w:val="4"/>
                <w:szCs w:val="4"/>
              </w:rPr>
            </w:pPr>
            <w:r>
              <w:rPr>
                <w:sz w:val="4"/>
                <w:szCs w:val="4"/>
              </w:rPr>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22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693,750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104,063</w:t>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693,750</w:t>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104,063</w:t>
            </w:r>
          </w:p>
        </w:tc>
        <w:tc>
          <w:tcPr>
            <w:tcW w:w="64" w:type="dxa"/>
            <w:tcBorders/>
            <w:vAlign w:val="bottom"/>
          </w:tcPr>
          <w:p>
            <w:pPr>
              <w:pStyle w:val="TableContents"/>
              <w:bidi w:val="0"/>
              <w:spacing w:before="0" w:after="283"/>
              <w:jc w:val="left"/>
              <w:rPr>
                <w:sz w:val="4"/>
                <w:szCs w:val="4"/>
              </w:rPr>
            </w:pPr>
            <w:r>
              <w:rPr>
                <w:sz w:val="4"/>
                <w:szCs w:val="4"/>
              </w:rPr>
            </w:r>
          </w:p>
        </w:tc>
      </w:tr>
      <w:tr>
        <w:trPr/>
        <w:tc>
          <w:tcPr>
            <w:tcW w:w="713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9,250,000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1,387,500</w:t>
            </w:r>
          </w:p>
        </w:tc>
        <w:tc>
          <w:tcPr>
            <w:tcW w:w="64" w:type="dxa"/>
            <w:tcBorders/>
            <w:shd w:fill="CCEEFF" w:val="clear"/>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Schedule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8"/>
        <w:gridCol w:w="456"/>
        <w:gridCol w:w="124"/>
        <w:gridCol w:w="2042"/>
        <w:gridCol w:w="60"/>
        <w:gridCol w:w="456"/>
        <w:gridCol w:w="152"/>
        <w:gridCol w:w="2534"/>
        <w:gridCol w:w="63"/>
      </w:tblGrid>
      <w:tr>
        <w:trPr/>
        <w:tc>
          <w:tcPr>
            <w:tcW w:w="4318"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Selling Stockholder</w:t>
            </w:r>
          </w:p>
        </w:tc>
        <w:tc>
          <w:tcPr>
            <w:tcW w:w="456" w:type="dxa"/>
            <w:tcBorders/>
            <w:vAlign w:val="bottom"/>
          </w:tcPr>
          <w:p>
            <w:pPr>
              <w:pStyle w:val="TableContents"/>
              <w:bidi w:val="0"/>
              <w:spacing w:before="0" w:after="283"/>
              <w:jc w:val="left"/>
              <w:rPr/>
            </w:pPr>
            <w:r>
              <w:rPr/>
              <w:t>  </w:t>
            </w:r>
          </w:p>
        </w:tc>
        <w:tc>
          <w:tcPr>
            <w:tcW w:w="2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Underwritten Shares</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6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 Shares</w:t>
            </w:r>
          </w:p>
        </w:tc>
        <w:tc>
          <w:tcPr>
            <w:tcW w:w="63"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Hagerty Holding Corp.</w:t>
            </w:r>
          </w:p>
        </w:tc>
        <w:tc>
          <w:tcPr>
            <w:tcW w:w="45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2" w:type="dxa"/>
            <w:tcBorders/>
            <w:shd w:fill="CCEEFF" w:val="clear"/>
            <w:vAlign w:val="bottom"/>
          </w:tcPr>
          <w:p>
            <w:pPr>
              <w:pStyle w:val="TableContents"/>
              <w:bidi w:val="0"/>
              <w:spacing w:before="0" w:after="283"/>
              <w:jc w:val="right"/>
              <w:rPr/>
            </w:pPr>
            <w:r>
              <w:rPr/>
              <w:t>9,250,000</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534" w:type="dxa"/>
            <w:tcBorders/>
            <w:shd w:fill="CCEEFF" w:val="clear"/>
            <w:vAlign w:val="bottom"/>
          </w:tcPr>
          <w:p>
            <w:pPr>
              <w:pStyle w:val="TableContents"/>
              <w:bidi w:val="0"/>
              <w:spacing w:before="0" w:after="283"/>
              <w:jc w:val="right"/>
              <w:rPr/>
            </w:pPr>
            <w:r>
              <w:rPr/>
              <w:t>1,387,500</w:t>
            </w:r>
          </w:p>
        </w:tc>
        <w:tc>
          <w:tcPr>
            <w:tcW w:w="63"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2" w:type="dxa"/>
            <w:tcBorders/>
            <w:vAlign w:val="bottom"/>
          </w:tcPr>
          <w:p>
            <w:pPr>
              <w:pStyle w:val="TableContents"/>
              <w:bidi w:val="0"/>
              <w:spacing w:before="0" w:after="283"/>
              <w:jc w:val="right"/>
              <w:rPr/>
            </w:pPr>
            <w:r>
              <w:rPr/>
              <w:t>9,250,000</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34" w:type="dxa"/>
            <w:tcBorders/>
            <w:vAlign w:val="bottom"/>
          </w:tcPr>
          <w:p>
            <w:pPr>
              <w:pStyle w:val="TableContents"/>
              <w:bidi w:val="0"/>
              <w:spacing w:before="0" w:after="283"/>
              <w:jc w:val="right"/>
              <w:rPr/>
            </w:pPr>
            <w:r>
              <w:rPr/>
              <w:t>1,387,500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Schedule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Annex A </w:t>
      </w:r>
    </w:p>
    <w:p>
      <w:pPr>
        <w:pStyle w:val="TextBody"/>
        <w:bidi w:val="0"/>
        <w:spacing w:before="120" w:after="0"/>
        <w:jc w:val="left"/>
        <w:rPr>
          <w:rFonts w:ascii="Times New Roman" w:hAnsi="Times New Roman"/>
          <w:sz w:val="20"/>
        </w:rPr>
      </w:pPr>
      <w:r>
        <w:rPr>
          <w:rFonts w:ascii="Times New Roman" w:hAnsi="Times New Roman"/>
          <w:b/>
          <w:sz w:val="20"/>
        </w:rPr>
        <w:t>a. Pricing Information Provided Orally by Underwriters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offering price per share: $11.95.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Underwritten Shares to be sold is 9,250,000.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Option Shares to be sold is 1,387,500. </w:t>
            </w:r>
          </w:p>
        </w:tc>
      </w:tr>
    </w:tbl>
    <w:p>
      <w:pPr>
        <w:pStyle w:val="TextBody"/>
        <w:bidi w:val="0"/>
        <w:spacing w:before="360" w:after="0"/>
        <w:jc w:val="left"/>
        <w:rPr>
          <w:rFonts w:ascii="Times New Roman" w:hAnsi="Times New Roman"/>
          <w:sz w:val="20"/>
        </w:rPr>
      </w:pPr>
      <w:r>
        <w:rPr>
          <w:rFonts w:ascii="Times New Roman" w:hAnsi="Times New Roman"/>
          <w:b/>
          <w:sz w:val="20"/>
        </w:rPr>
        <w:t>b. Free Writing Prospectuses that are part of the Pricing Disclosure Package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652"/>
        <w:gridCol w:w="8637"/>
      </w:tblGrid>
      <w:tr>
        <w:trPr/>
        <w:tc>
          <w:tcPr>
            <w:tcW w:w="916" w:type="dxa"/>
            <w:tcBorders/>
            <w:vAlign w:val="center"/>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None.</w:t>
            </w:r>
          </w:p>
        </w:tc>
        <w:tc>
          <w:tcPr>
            <w:tcW w:w="863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Annex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Schedule 2 </w:t>
      </w:r>
    </w:p>
    <w:p>
      <w:pPr>
        <w:pStyle w:val="TextBody"/>
        <w:bidi w:val="0"/>
        <w:spacing w:before="0" w:after="0"/>
        <w:jc w:val="right"/>
        <w:rPr>
          <w:rFonts w:ascii="Times New Roman" w:hAnsi="Times New Roman"/>
          <w:b/>
          <w:sz w:val="20"/>
        </w:rPr>
      </w:pPr>
      <w:bookmarkStart w:id="4" w:name="d71458dex51.htm"/>
      <w:bookmarkStart w:id="5" w:name="ksd71458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6"/>
        <w:gridCol w:w="121"/>
        <w:gridCol w:w="3198"/>
        <w:gridCol w:w="121"/>
        <w:gridCol w:w="3269"/>
      </w:tblGrid>
      <w:tr>
        <w:trPr/>
        <w:tc>
          <w:tcPr>
            <w:tcW w:w="349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349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9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69" w:type="dxa"/>
            <w:tcBorders/>
          </w:tcPr>
          <w:p>
            <w:pPr>
              <w:pStyle w:val="TableContents"/>
              <w:bidi w:val="0"/>
              <w:spacing w:before="0" w:after="0"/>
              <w:jc w:val="left"/>
              <w:rPr>
                <w:rFonts w:ascii="Times New Roman" w:hAnsi="Times New Roman"/>
                <w:sz w:val="20"/>
              </w:rPr>
            </w:pPr>
            <w:r>
              <w:rPr>
                <w:rFonts w:ascii="Times New Roman" w:hAnsi="Times New Roman"/>
                <w:sz w:val="20"/>
              </w:rPr>
              <w:t>DLA Piper LLP (US)</w:t>
            </w:r>
          </w:p>
          <w:p>
            <w:pPr>
              <w:pStyle w:val="TableContents"/>
              <w:bidi w:val="0"/>
              <w:spacing w:before="0" w:after="0"/>
              <w:jc w:val="left"/>
              <w:rPr>
                <w:rFonts w:ascii="Times New Roman" w:hAnsi="Times New Roman"/>
                <w:sz w:val="20"/>
              </w:rPr>
            </w:pPr>
            <w:r>
              <w:rPr>
                <w:rFonts w:ascii="Times New Roman" w:hAnsi="Times New Roman"/>
                <w:sz w:val="20"/>
              </w:rPr>
              <w:t>2525 East Camelback Road, Suite</w:t>
            </w:r>
          </w:p>
          <w:p>
            <w:pPr>
              <w:pStyle w:val="TableContents"/>
              <w:bidi w:val="0"/>
              <w:spacing w:before="0" w:after="0"/>
              <w:jc w:val="left"/>
              <w:rPr>
                <w:rFonts w:ascii="Times New Roman" w:hAnsi="Times New Roman"/>
                <w:sz w:val="20"/>
              </w:rPr>
            </w:pPr>
            <w:r>
              <w:rPr>
                <w:rFonts w:ascii="Times New Roman" w:hAnsi="Times New Roman"/>
                <w:sz w:val="20"/>
              </w:rPr>
              <w:t>1000</w:t>
            </w:r>
          </w:p>
          <w:p>
            <w:pPr>
              <w:pStyle w:val="TableContents"/>
              <w:bidi w:val="0"/>
              <w:spacing w:before="0" w:after="20"/>
              <w:jc w:val="left"/>
              <w:rPr>
                <w:rFonts w:ascii="Times New Roman" w:hAnsi="Times New Roman"/>
                <w:sz w:val="20"/>
              </w:rPr>
            </w:pPr>
            <w:r>
              <w:rPr>
                <w:rFonts w:ascii="Times New Roman" w:hAnsi="Times New Roman"/>
                <w:sz w:val="20"/>
              </w:rPr>
              <w:t>Phoenix, Arizona 85016</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9, 2026 </w:t>
      </w:r>
    </w:p>
    <w:p>
      <w:pPr>
        <w:pStyle w:val="TextBody"/>
        <w:bidi w:val="0"/>
        <w:spacing w:before="240" w:after="0"/>
        <w:jc w:val="left"/>
        <w:rPr>
          <w:rFonts w:ascii="Times New Roman" w:hAnsi="Times New Roman"/>
          <w:sz w:val="20"/>
        </w:rPr>
      </w:pPr>
      <w:r>
        <w:rPr>
          <w:rFonts w:ascii="Times New Roman" w:hAnsi="Times New Roman"/>
          <w:sz w:val="20"/>
        </w:rPr>
        <w:t>Hagerty, Inc.</w:t>
      </w:r>
    </w:p>
    <w:p>
      <w:pPr>
        <w:pStyle w:val="TextBody"/>
        <w:bidi w:val="0"/>
        <w:spacing w:before="0" w:after="0"/>
        <w:jc w:val="left"/>
        <w:rPr>
          <w:rFonts w:ascii="Times New Roman" w:hAnsi="Times New Roman"/>
          <w:sz w:val="20"/>
        </w:rPr>
      </w:pPr>
      <w:r>
        <w:rPr>
          <w:rFonts w:ascii="Times New Roman" w:hAnsi="Times New Roman"/>
          <w:sz w:val="20"/>
        </w:rPr>
        <w:t>121 Drivers Edge</w:t>
      </w:r>
    </w:p>
    <w:p>
      <w:pPr>
        <w:pStyle w:val="TextBody"/>
        <w:bidi w:val="0"/>
        <w:spacing w:before="0" w:after="0"/>
        <w:jc w:val="left"/>
        <w:rPr>
          <w:rFonts w:ascii="Times New Roman" w:hAnsi="Times New Roman"/>
          <w:sz w:val="20"/>
        </w:rPr>
      </w:pPr>
      <w:r>
        <w:rPr>
          <w:rFonts w:ascii="Times New Roman" w:hAnsi="Times New Roman"/>
          <w:sz w:val="20"/>
        </w:rPr>
        <w:t xml:space="preserve">Traverse City, Michigan 49684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Hagerty, Inc., a Delaware corporation (the “Company”), in connection with the sale by Hagerty Holding Corp. (the “Selling Stockholder”) of an aggregate of 10,637,500 shares of the Company’s Class A common stock (which includes 1,387,500 shares of the Company’s Class A common stock that may be sold by the Selling Stockholder upon exercise of the underwriters’ option to purchase additional shares) (the “Shares”), pursuant to an underwriting agreement dated September 9, 2026 by and among the Company, the Selling Stockholder and Wells Fargo Securities, LLC and J.P. Morgan Securities LLC as representatives of the several underwriters named therein (collectively, the “Underwriters”), and the Company’s Registration Statement on Form S-1 (File No. 333-261810), which was originally declared effective by the U.S. Securities and Exchange Commission (the “SEC”) on December 30, 2021 and subsequently amended and converted into a registration statement on Form S-3 that was declared effective on February 7, 2023 (as amended, the “Registration Statement”), including the base prospectus dated February 7, 2023 contained in the Registration Statement (the “Base Prospectus”) and the prospectus supplement thereto dated September 9, 2026 (the “Prospectus Supplement,” and together with the Base Prospectus, the “Prospectus”), each filed under the Securities Act of 1933, as amended (the “Act”), with the SEC. </w:t>
      </w:r>
    </w:p>
    <w:p>
      <w:pPr>
        <w:pStyle w:val="TextBody"/>
        <w:bidi w:val="0"/>
        <w:spacing w:before="240" w:after="0"/>
        <w:jc w:val="left"/>
        <w:rPr>
          <w:rFonts w:ascii="Times New Roman" w:hAnsi="Times New Roman"/>
          <w:sz w:val="20"/>
        </w:rPr>
      </w:pPr>
      <w:r>
        <w:rPr>
          <w:rFonts w:ascii="Times New Roman" w:hAnsi="Times New Roman"/>
          <w:sz w:val="20"/>
        </w:rPr>
        <w:t>In connection with this opinion letter, we have examined such documents, records and other instruments as we have deemed appropriate for purposes of the opinion set forth herein. In such examination, we have assumed the genuineness of all signatures, the legal capacity of all natural persons, the authenticity of the documents submitted to us as originals, the conformity to the authentic originals of all documents submitted to us as copies. As to matters of fact relevant to our opinion set forth below, we have relied, without independent investigation, on certificates of public officials and of officers of the Company. The opinion expressed herein is limited to the Delaware General Corporation Law.</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we are of the opinion that the Shares have been validly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this opinion as Exhibit 5.1 to the Registration Statement and to the reference to us under the caption “Legal Matters” in the Prospectus. In giving such consent, we do not hereby admit that we are acting within the category of persons whose consent is required under Section 7 of the Act or the rules or regulations of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expressly limited to the matters set forth above, and we render no opinion, whether by implication or otherwise, as to any other matters relating to the Company, the Shares or the Prospectus. This opinion is rendered as of the date hereof, and we assume no obligation to advise you of any fact, circumstance, event or development that may hereafter be brought to our attention whether or not such occurrence would alter, affect or modify the opinion expressed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b/>
                <w:sz w:val="20"/>
              </w:rPr>
              <w:t>DLA Piper LLP (US)</w:t>
            </w:r>
          </w:p>
        </w:tc>
      </w:tr>
    </w:tbl>
    <w:p>
      <w:pPr>
        <w:pStyle w:val="TextBody"/>
        <w:bidi w:val="0"/>
        <w:spacing w:before="0" w:after="0"/>
        <w:jc w:val="right"/>
        <w:rPr>
          <w:rFonts w:ascii="Times New Roman" w:hAnsi="Times New Roman"/>
          <w:b/>
          <w:sz w:val="20"/>
        </w:rPr>
      </w:pPr>
      <w:bookmarkStart w:id="6" w:name="d71458dex991.htm"/>
      <w:bookmarkStart w:id="7" w:name="ksd71458dex991"/>
      <w:bookmarkEnd w:id="6"/>
      <w:bookmarkEnd w:id="7"/>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For Immediate Release </w:t>
      </w:r>
    </w:p>
    <w:p>
      <w:pPr>
        <w:pStyle w:val="TextBody"/>
        <w:bidi w:val="0"/>
        <w:spacing w:before="480" w:after="0"/>
        <w:jc w:val="center"/>
        <w:rPr>
          <w:rFonts w:ascii="Times New Roman" w:hAnsi="Times New Roman"/>
          <w:b/>
          <w:sz w:val="20"/>
        </w:rPr>
      </w:pPr>
      <w:r>
        <w:rPr>
          <w:rFonts w:ascii="Times New Roman" w:hAnsi="Times New Roman"/>
          <w:b/>
          <w:sz w:val="20"/>
        </w:rPr>
        <w:t xml:space="preserve">Hagerty Announces Pricing of its Upsized Secondary Offering of Class A Common Stock </w:t>
      </w:r>
    </w:p>
    <w:p>
      <w:pPr>
        <w:pStyle w:val="TextBody"/>
        <w:bidi w:val="0"/>
        <w:spacing w:before="240" w:after="0"/>
        <w:jc w:val="left"/>
        <w:rPr>
          <w:rFonts w:ascii="Times New Roman" w:hAnsi="Times New Roman"/>
          <w:sz w:val="20"/>
        </w:rPr>
      </w:pPr>
      <w:r>
        <w:rPr>
          <w:rFonts w:ascii="Times New Roman" w:hAnsi="Times New Roman"/>
          <w:b/>
          <w:sz w:val="20"/>
        </w:rPr>
        <w:t>TRAVERSE CITY, Michigan,</w:t>
      </w:r>
      <w:r>
        <w:rPr>
          <w:rFonts w:ascii="Times New Roman" w:hAnsi="Times New Roman"/>
          <w:sz w:val="20"/>
        </w:rPr>
        <w:t xml:space="preserve"> September 9, 2026/PRNewswire/ – Hagerty, Inc. (NYSE: HGTY) (“Hagerty”), a business that makes it easier and more enjoyable to be a driving enthusiast, announced the pricing of its secondary offering, upsized to 9,250,000 shares of Hagerty’s Class A Common Stock, being offered by Hagerty Holding Corp. (“HHC” or the “Selling Stockholder”) at a price to the public of $11.95 per share. In connection with the offering, the Selling Stockholder also granted the underwriters a 30-day option to purchase up to an additional 1,387,500 shares of Hagerty’s Class A Common Stock. The offering is expected to close on or about September 11,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Hagerty will not receive any of the proceeds from the sale of the shares of its Class A Common Stock offered by the Selling Stockholder, and the Selling Stockholder will bear the underwriting discounts and commissions associated with the sale of such shares. HHC has advised us that the net proceeds from the sale of its shares in this offering will be used to effect a redemption, for the benefit of the Kim Hagerty Revocable Trust, of a corresponding number of its HHC shares. Wells Fargo Securities and J.P. Morgan are acting as representatives of the underwriters and lead bookrunning managers of the offering. BMO Capital Markets, Citizens Capital Markets, Keefe, Bruyette &amp; Woods, </w:t>
      </w:r>
      <w:r>
        <w:rPr>
          <w:rFonts w:ascii="Times New Roman" w:hAnsi="Times New Roman"/>
          <w:i/>
          <w:sz w:val="20"/>
        </w:rPr>
        <w:t>A Stifel Company</w:t>
      </w:r>
      <w:r>
        <w:rPr>
          <w:rFonts w:ascii="Times New Roman" w:hAnsi="Times New Roman"/>
          <w:sz w:val="20"/>
        </w:rPr>
        <w:t xml:space="preserve">, and Oppenheimer &amp; Co. are acting as additional bookrunning managers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only by means of a prospectus supplement and the accompanying base prospectus. When available, copies of the final prospectus supplement and accompanying base prospectus may be obtained for free by visiting EDGAR on the Securities and Exchange Commission’s (the “SEC”) website at www.sec.gov. Alternatively, Hagerty, any underwriter or any dealer participating in the offering will arrange to send you the prospectus if you request it by contacting Wells Fargo Securities, LLC, 90 South 7th Street, 5th Floor, Minneapolis, MN 55402, at 800-645-3751 (option #5) or by email at </w:t>
      </w:r>
      <w:r>
        <w:rPr>
          <w:rFonts w:ascii="Times New Roman" w:hAnsi="Times New Roman"/>
          <w:sz w:val="20"/>
          <w:u w:val="single"/>
        </w:rPr>
        <w:t>WFScustomerservice@wellsfargo.com</w:t>
      </w:r>
      <w:r>
        <w:rPr>
          <w:rFonts w:ascii="Times New Roman" w:hAnsi="Times New Roman"/>
          <w:sz w:val="20"/>
        </w:rPr>
        <w:t xml:space="preserve">, or J.P. Morgan Securities LLC, Attention: c/o Broadridge Financial Solutions, 1155 Long Island Avenue, Edgewood, NY 11717, or by email at </w:t>
      </w:r>
      <w:r>
        <w:rPr>
          <w:rFonts w:ascii="Times New Roman" w:hAnsi="Times New Roman"/>
          <w:sz w:val="20"/>
          <w:u w:val="single"/>
        </w:rPr>
        <w:t>prospectus-eq_fi@jpmchase.com</w:t>
      </w:r>
      <w:r>
        <w:rPr>
          <w:rFonts w:ascii="Times New Roman" w:hAnsi="Times New Roman"/>
          <w:sz w:val="20"/>
        </w:rPr>
        <w:t xml:space="preserve"> and </w:t>
      </w:r>
      <w:r>
        <w:rPr>
          <w:rFonts w:ascii="Times New Roman" w:hAnsi="Times New Roman"/>
          <w:sz w:val="20"/>
          <w:u w:val="single"/>
        </w:rPr>
        <w:t>postsalemanualrequests@broadridge.com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registration statement relating to these securities has been filed with, and declared effective by, the SEC.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constitute “forward-looking statements” within the meaning of the federal securities laws. All statements provided, other than statements of historical fact, are forward-looking statements, including those relating to the satisfaction of closing conditions, the closing of the offering, and the underwriters’ option to purchase additional shares. The words “anticipate,” “expect,” “intend,” “may,” “will,” “would,” “could,” and similar expressions, and the negative of these expressions,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Hagerty has based these forward-looking statements largely on current expectations about future events, which may not materialize. Actual results could differ materially and adversely from those anticipated or implied in the forward-looking statements. These factors include, among other things, Hagerty’s ability to: (i) compete effectively within Hagerty’s industry and attract and retain Hagerty’s insurance policyholders and paid Hagerty Drivers Club subscribers; (ii) maintain key strategic relationships with Hagerty’s insurance distribution and underwriting carrier partners; (iii) prevent, monitor, and detect fraudulent activity; (iv) manage risks associated with disruptions, interruptions, outages or other issues with Hagerty’s technology platforms or Hagerty’s use of third-party services; (v) accelerate the adoption of Hagerty’s membership and marketplace products and services, as well as any new insurance programs and products Hagerty offers; (vi) successfully implement the fronting arrangement consummated with Markel Group Inc. and realize the anticipated benefits while also managing the increased exposure to underwriting volatility, catastrophes, reinsurance counterparty risk, and legal, compliance, and regulatory risks resulting from the shift to Hagerty’s wholly owned subsidiary, Hagerty Reinsurance Limited, assuming 100% of the risk for policies written through this arrangement; (vii) underwrite and price new products, including Enthusiast+, consistent with expected loss ratios and risk tolerances; (viii) execute Broad Arrow Group, Inc.’s private sale, auction, and financing strategies; (ix) complete acquisitions or investments, such as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acquisition of Bennetts Motorcycling Services Limited, on the expected terms or timeline, or at all, or realize the anticipated benefits of these acquisitions and investments, including expected earnings enhancements and synergies; (x) manage the cyclical nature of the insurance business and broader macroeconomic conditions, including inflation, interest rates, and potential recessionary pressures; (xi) achieve Hagerty’s investment objectives and avoid losses in Hagerty’s investment portfolio; (xii) address unexpected increases in the frequency or severity of claims, including catastrophe losses; and (xiii) comply with the numerous laws and regulations applicable to Hagerty’s business, including without limitation state, federal, and foreign laws relating to insurance and rate increases, privacy and cybersecurity, marketing and advertising, digital services, accounting matters, tax, anti-money laundering, and economic sanctions.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herein represent the views of Hagerty as of the date of this release and Hagerty undertakes no obligation to update any forward-looking statement, whether as a result of new information, future developments,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About Hagerty, Inc. (NYSE: HGTY) </w:t>
      </w:r>
    </w:p>
    <w:p>
      <w:pPr>
        <w:pStyle w:val="TextBody"/>
        <w:bidi w:val="0"/>
        <w:spacing w:before="120" w:after="0"/>
        <w:jc w:val="left"/>
        <w:rPr>
          <w:rFonts w:ascii="Times New Roman" w:hAnsi="Times New Roman"/>
          <w:sz w:val="20"/>
        </w:rPr>
      </w:pPr>
      <w:r>
        <w:rPr>
          <w:rFonts w:ascii="Times New Roman" w:hAnsi="Times New Roman"/>
          <w:sz w:val="20"/>
        </w:rPr>
        <w:t xml:space="preserve">Hagerty is a company built by drivers for drivers, protecting 3.0 million vehicles in the United States, Canada and the UK. We make it easier and more enjoyable for car enthusiasts to drive and celebrate the vehicles they love through innovative vehicle insurance products, live and digital auctions, engaging media and events, and the Hagerty Drivers Club, the world’s largest membership community of car lovers.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t>
      </w:r>
      <w:r>
        <w:rPr>
          <w:rFonts w:ascii="Times New Roman" w:hAnsi="Times New Roman"/>
          <w:sz w:val="20"/>
          <w:u w:val="single"/>
        </w:rPr>
        <w:t>www.hagerty.com</w:t>
      </w:r>
      <w:r>
        <w:rPr>
          <w:rFonts w:ascii="Times New Roman" w:hAnsi="Times New Roman"/>
          <w:sz w:val="20"/>
        </w:rPr>
        <w:t xml:space="preserve"> or </w:t>
      </w:r>
      <w:r>
        <w:rPr>
          <w:rFonts w:ascii="Times New Roman" w:hAnsi="Times New Roman"/>
          <w:sz w:val="20"/>
          <w:u w:val="single"/>
        </w:rPr>
        <w:t>www.newsroom.hagerty.com</w:t>
      </w:r>
      <w:r>
        <w:rPr>
          <w:rFonts w:ascii="Times New Roman" w:hAnsi="Times New Roman"/>
          <w:sz w:val="20"/>
        </w:rPr>
        <w:t xml:space="preserve">. Never Stop Driving®. </w:t>
      </w:r>
    </w:p>
    <w:p>
      <w:pPr>
        <w:pStyle w:val="TextBody"/>
        <w:bidi w:val="0"/>
        <w:spacing w:before="240" w:after="0"/>
        <w:jc w:val="left"/>
        <w:rPr>
          <w:rFonts w:ascii="Times New Roman" w:hAnsi="Times New Roman"/>
          <w:sz w:val="20"/>
        </w:rPr>
      </w:pPr>
      <w:r>
        <w:rPr>
          <w:rFonts w:ascii="Times New Roman" w:hAnsi="Times New Roman"/>
          <w:sz w:val="20"/>
        </w:rPr>
        <w:t xml:space="preserve">Hagerty Investor Contact: </w:t>
      </w:r>
      <w:r>
        <w:rPr>
          <w:rFonts w:ascii="Times New Roman" w:hAnsi="Times New Roman"/>
          <w:sz w:val="20"/>
          <w:u w:val="single"/>
        </w:rPr>
        <w:t>investor@hagerty.com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Hagerty Media Contact: </w:t>
      </w:r>
      <w:r>
        <w:rPr>
          <w:rFonts w:ascii="Times New Roman" w:hAnsi="Times New Roman"/>
          <w:sz w:val="20"/>
          <w:u w:val="single"/>
        </w:rPr>
        <w:t xml:space="preserve">press@hagerty.com </w:t>
      </w:r>
    </w:p>
    <w:p>
      <w:pPr>
        <w:pStyle w:val="TextBody"/>
        <w:bidi w:val="0"/>
        <w:spacing w:before="240" w:after="0"/>
        <w:jc w:val="left"/>
        <w:rPr>
          <w:rFonts w:ascii="Times New Roman" w:hAnsi="Times New Roman"/>
          <w:sz w:val="20"/>
        </w:rPr>
      </w:pPr>
      <w:r>
        <w:rPr>
          <w:rFonts w:ascii="Times New Roman" w:hAnsi="Times New Roman"/>
          <w:sz w:val="20"/>
        </w:rPr>
        <w:t xml:space="preserve">Category: Financial </w:t>
      </w:r>
    </w:p>
    <w:p>
      <w:pPr>
        <w:pStyle w:val="TextBody"/>
        <w:bidi w:val="0"/>
        <w:spacing w:before="240" w:after="0"/>
        <w:jc w:val="left"/>
        <w:rPr>
          <w:rFonts w:ascii="Times New Roman" w:hAnsi="Times New Roman"/>
          <w:sz w:val="20"/>
        </w:rPr>
      </w:pPr>
      <w:r>
        <w:rPr>
          <w:rFonts w:ascii="Times New Roman" w:hAnsi="Times New Roman"/>
          <w:sz w:val="20"/>
        </w:rPr>
        <w:t xml:space="preserve">Source: Hagerty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24117</Words>
  <Characters>130228</Characters>
  <CharactersWithSpaces>154399</CharactersWithSpaces>
  <Paragraphs>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