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660" w:right="1540" w:hanging="3634"/>
        <w:spacing w:after="0" w:line="366" w:lineRule="auto"/>
        <w:tabs>
          <w:tab w:leader="none" w:pos="5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6" w:lineRule="exact"/>
        <w:rPr>
          <w:sz w:val="24"/>
          <w:szCs w:val="24"/>
          <w:color w:val="auto"/>
        </w:rPr>
      </w:pPr>
    </w:p>
    <w:p>
      <w:pPr>
        <w:ind w:left="3640" w:right="1480" w:hanging="3614"/>
        <w:spacing w:after="0" w:line="395" w:lineRule="auto"/>
        <w:tabs>
          <w:tab w:leader="none" w:pos="58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w:t>
      </w: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001-40244</w:t>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HAGERTY, INC.</w:t>
      </w:r>
    </w:p>
    <w:p>
      <w:pPr>
        <w:sectPr>
          <w:pgSz w:w="11900" w:h="16838" w:orient="portrait"/>
          <w:cols w:equalWidth="0" w:num="1">
            <w:col w:w="11240"/>
          </w:cols>
          <w:pgMar w:left="320" w:top="1334" w:right="339" w:bottom="1440" w:gutter="0" w:footer="0" w:header="0"/>
        </w:sectPr>
      </w:pPr>
    </w:p>
    <w:p>
      <w:pPr>
        <w:spacing w:after="0" w:line="14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4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94" w:lineRule="exact"/>
        <w:rPr>
          <w:sz w:val="24"/>
          <w:szCs w:val="24"/>
          <w:color w:val="auto"/>
        </w:rPr>
      </w:pPr>
    </w:p>
    <w:p>
      <w:pPr>
        <w:jc w:val="center"/>
        <w:ind w:right="4440"/>
        <w:spacing w:after="0"/>
        <w:rPr>
          <w:sz w:val="20"/>
          <w:szCs w:val="20"/>
          <w:color w:val="auto"/>
        </w:rPr>
      </w:pPr>
      <w:r>
        <w:rPr>
          <w:rFonts w:ascii="Times New Roman" w:cs="Times New Roman" w:eastAsia="Times New Roman" w:hAnsi="Times New Roman"/>
          <w:sz w:val="16"/>
          <w:szCs w:val="16"/>
          <w:color w:val="auto"/>
        </w:rPr>
        <w:t>(State of incorporation)</w:t>
      </w:r>
    </w:p>
    <w:p>
      <w:pPr>
        <w:spacing w:after="0" w:line="151" w:lineRule="exact"/>
        <w:rPr>
          <w:sz w:val="24"/>
          <w:szCs w:val="24"/>
          <w:color w:val="auto"/>
        </w:rPr>
      </w:pPr>
    </w:p>
    <w:p>
      <w:pPr>
        <w:jc w:val="center"/>
        <w:ind w:right="4440"/>
        <w:spacing w:after="0"/>
        <w:rPr>
          <w:sz w:val="20"/>
          <w:szCs w:val="20"/>
          <w:color w:val="auto"/>
        </w:rPr>
      </w:pPr>
      <w:r>
        <w:rPr>
          <w:rFonts w:ascii="Times New Roman" w:cs="Times New Roman" w:eastAsia="Times New Roman" w:hAnsi="Times New Roman"/>
          <w:sz w:val="18"/>
          <w:szCs w:val="18"/>
          <w:b w:val="1"/>
          <w:bCs w:val="1"/>
          <w:color w:val="auto"/>
        </w:rPr>
        <w:t>121 Drivers Edge, Traverse City,</w:t>
      </w:r>
    </w:p>
    <w:p>
      <w:pPr>
        <w:jc w:val="center"/>
        <w:ind w:right="448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77"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20"/>
          <w:szCs w:val="20"/>
          <w:b w:val="1"/>
          <w:bCs w:val="1"/>
          <w:color w:val="auto"/>
        </w:rPr>
        <w:t>(800) 922-4050</w:t>
      </w:r>
    </w:p>
    <w:p>
      <w:pPr>
        <w:spacing w:after="0" w:line="7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39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86-1213144</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30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49684</w:t>
      </w:r>
    </w:p>
    <w:p>
      <w:pPr>
        <w:spacing w:after="0" w:line="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(Zip code)</w:t>
      </w:r>
    </w:p>
    <w:p>
      <w:pPr>
        <w:spacing w:after="0" w:line="1600" w:lineRule="exact"/>
        <w:rPr>
          <w:sz w:val="24"/>
          <w:szCs w:val="24"/>
          <w:color w:val="auto"/>
        </w:rPr>
      </w:pPr>
    </w:p>
    <w:p>
      <w:pPr>
        <w:sectPr>
          <w:pgSz w:w="11900" w:h="16838" w:orient="portrait"/>
          <w:cols w:equalWidth="0" w:num="2">
            <w:col w:w="7820" w:space="580"/>
            <w:col w:w="2840"/>
          </w:cols>
          <w:pgMar w:left="320" w:top="1334" w:right="339" w:bottom="1440" w:gutter="0" w:footer="0" w:header="0"/>
          <w:type w:val="continuous"/>
        </w:sectPr>
      </w:pP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HGTY</w:t>
            </w:r>
          </w:p>
        </w:tc>
        <w:tc>
          <w:tcPr>
            <w:tcW w:w="80" w:type="dxa"/>
            <w:vAlign w:val="bottom"/>
          </w:tcPr>
          <w:p>
            <w:pPr>
              <w:spacing w:after="0"/>
              <w:rPr>
                <w:sz w:val="19"/>
                <w:szCs w:val="19"/>
                <w:color w:val="auto"/>
              </w:rPr>
            </w:pPr>
          </w:p>
        </w:tc>
        <w:tc>
          <w:tcPr>
            <w:tcW w:w="4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34"/>
        </w:trPr>
        <w:tc>
          <w:tcPr>
            <w:tcW w:w="4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bl>
    <w:p>
      <w:pPr>
        <w:spacing w:after="0" w:line="211"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09" w:lineRule="exact"/>
        <w:rPr>
          <w:sz w:val="24"/>
          <w:szCs w:val="24"/>
          <w:color w:val="auto"/>
        </w:rPr>
      </w:pPr>
    </w:p>
    <w:p>
      <w:pPr>
        <w:jc w:val="both"/>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2100" w:type="dxa"/>
        <w:tblCellMar>
          <w:top w:w="0" w:type="dxa"/>
          <w:left w:w="0" w:type="dxa"/>
          <w:bottom w:w="0" w:type="dxa"/>
          <w:right w:w="0" w:type="dxa"/>
        </w:tblCellMar>
      </w:tblPr>
      <w:tr>
        <w:trPr>
          <w:trHeight w:val="338"/>
        </w:trPr>
        <w:tc>
          <w:tcPr>
            <w:tcW w:w="1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4" w:lineRule="exact"/>
        <w:rPr>
          <w:sz w:val="20"/>
          <w:szCs w:val="20"/>
          <w:color w:val="auto"/>
        </w:rPr>
      </w:pPr>
    </w:p>
    <w:p>
      <w:pPr>
        <w:ind w:right="160"/>
        <w:spacing w:after="0" w:line="250"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9"/>
          <w:szCs w:val="19"/>
          <w:color w:val="auto"/>
        </w:rPr>
        <w:t>☐</w:t>
      </w:r>
    </w:p>
    <w:p>
      <w:pPr>
        <w:spacing w:after="0" w:line="46" w:lineRule="exact"/>
        <w:rPr>
          <w:sz w:val="20"/>
          <w:szCs w:val="20"/>
          <w:color w:val="auto"/>
        </w:rPr>
      </w:pPr>
    </w:p>
    <w:p>
      <w:pPr>
        <w:spacing w:after="0" w:line="219"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registrant had 120,624,052 shares of Class A Common Stock outstanding and 223,078,245 shares of Class V Common Stock outstanding as of October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9860" w:type="dxa"/>
            <w:vAlign w:val="bottom"/>
            <w:gridSpan w:val="24"/>
          </w:tcPr>
          <w:p>
            <w:pPr>
              <w:ind w:left="6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360" w:type="dxa"/>
            <w:vAlign w:val="bottom"/>
            <w:gridSpan w:val="4"/>
          </w:tcPr>
          <w:p>
            <w:pPr>
              <w:ind w:left="940"/>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34"/>
        </w:trPr>
        <w:tc>
          <w:tcPr>
            <w:tcW w:w="20" w:type="dxa"/>
            <w:vAlign w:val="bottom"/>
            <w:tcBorders>
              <w:top w:val="single" w:sz="8" w:color="auto"/>
            </w:tcBorders>
            <w:shd w:val="clear" w:color="auto" w:fill="CCEEFF"/>
          </w:tcPr>
          <w:p>
            <w:pPr>
              <w:spacing w:after="0"/>
              <w:rPr>
                <w:sz w:val="20"/>
                <w:szCs w:val="20"/>
                <w:color w:val="auto"/>
              </w:rPr>
            </w:pPr>
          </w:p>
        </w:tc>
        <w:tc>
          <w:tcPr>
            <w:tcW w:w="9780" w:type="dxa"/>
            <w:vAlign w:val="bottom"/>
            <w:tcBorders>
              <w:top w:val="single" w:sz="8" w:color="auto"/>
            </w:tcBorders>
            <w:gridSpan w:val="23"/>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3051F2"/>
              </w:rPr>
              <w:t>Cautionary Statement Regarding Forward-Looking Statements</w:t>
            </w:r>
          </w:p>
        </w:tc>
        <w:tc>
          <w:tcPr>
            <w:tcW w:w="8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gridSpan w:val="3"/>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3051F2"/>
              </w:rPr>
              <w:t>5</w:t>
            </w:r>
          </w:p>
        </w:tc>
        <w:tc>
          <w:tcPr>
            <w:tcW w:w="20" w:type="dxa"/>
            <w:vAlign w:val="bottom"/>
            <w:tcBorders>
              <w:top w:val="single" w:sz="8" w:color="auto"/>
            </w:tcBorders>
            <w:shd w:val="clear" w:color="auto" w:fill="CCEEFF"/>
          </w:tcPr>
          <w:p>
            <w:pPr>
              <w:spacing w:after="0"/>
              <w:rPr>
                <w:sz w:val="20"/>
                <w:szCs w:val="20"/>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3051F2"/>
            </w:tcBorders>
          </w:tcPr>
          <w:p>
            <w:pPr>
              <w:spacing w:after="0"/>
              <w:rPr>
                <w:sz w:val="19"/>
                <w:szCs w:val="19"/>
                <w:color w:val="auto"/>
              </w:rPr>
            </w:pPr>
          </w:p>
        </w:tc>
        <w:tc>
          <w:tcPr>
            <w:tcW w:w="680" w:type="dxa"/>
            <w:vAlign w:val="bottom"/>
            <w:tcBorders>
              <w:top w:val="single" w:sz="8" w:color="3051F2"/>
            </w:tcBorders>
          </w:tcPr>
          <w:p>
            <w:pPr>
              <w:spacing w:after="0"/>
              <w:rPr>
                <w:sz w:val="19"/>
                <w:szCs w:val="19"/>
                <w:color w:val="auto"/>
              </w:rPr>
            </w:pPr>
          </w:p>
        </w:tc>
        <w:tc>
          <w:tcPr>
            <w:tcW w:w="440" w:type="dxa"/>
            <w:vAlign w:val="bottom"/>
            <w:tcBorders>
              <w:top w:val="single" w:sz="8" w:color="3051F2"/>
            </w:tcBorders>
          </w:tcPr>
          <w:p>
            <w:pPr>
              <w:spacing w:after="0"/>
              <w:rPr>
                <w:sz w:val="19"/>
                <w:szCs w:val="19"/>
                <w:color w:val="auto"/>
              </w:rPr>
            </w:pPr>
          </w:p>
        </w:tc>
        <w:tc>
          <w:tcPr>
            <w:tcW w:w="480" w:type="dxa"/>
            <w:vAlign w:val="bottom"/>
            <w:tcBorders>
              <w:top w:val="single" w:sz="8" w:color="3051F2"/>
            </w:tcBorders>
          </w:tcPr>
          <w:p>
            <w:pPr>
              <w:spacing w:after="0"/>
              <w:rPr>
                <w:sz w:val="19"/>
                <w:szCs w:val="19"/>
                <w:color w:val="auto"/>
              </w:rPr>
            </w:pPr>
          </w:p>
        </w:tc>
        <w:tc>
          <w:tcPr>
            <w:tcW w:w="300" w:type="dxa"/>
            <w:vAlign w:val="bottom"/>
            <w:tcBorders>
              <w:top w:val="single" w:sz="8" w:color="3051F2"/>
            </w:tcBorders>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480" w:type="dxa"/>
            <w:vAlign w:val="bottom"/>
            <w:tcBorders>
              <w:top w:val="single" w:sz="8" w:color="3051F2"/>
            </w:tcBorders>
          </w:tcPr>
          <w:p>
            <w:pPr>
              <w:spacing w:after="0"/>
              <w:rPr>
                <w:sz w:val="19"/>
                <w:szCs w:val="19"/>
                <w:color w:val="auto"/>
              </w:rPr>
            </w:pPr>
          </w:p>
        </w:tc>
        <w:tc>
          <w:tcPr>
            <w:tcW w:w="620" w:type="dxa"/>
            <w:vAlign w:val="bottom"/>
            <w:tcBorders>
              <w:top w:val="single" w:sz="8" w:color="3051F2"/>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120" w:type="dxa"/>
            <w:vAlign w:val="bottom"/>
            <w:tcBorders>
              <w:top w:val="single" w:sz="8" w:color="3051F2"/>
            </w:tcBorders>
          </w:tcPr>
          <w:p>
            <w:pPr>
              <w:spacing w:after="0"/>
              <w:rPr>
                <w:sz w:val="19"/>
                <w:szCs w:val="19"/>
                <w:color w:val="auto"/>
              </w:rPr>
            </w:pPr>
          </w:p>
        </w:tc>
        <w:tc>
          <w:tcPr>
            <w:tcW w:w="300" w:type="dxa"/>
            <w:vAlign w:val="bottom"/>
            <w:tcBorders>
              <w:top w:val="single" w:sz="8" w:color="3051F2"/>
            </w:tcBorders>
          </w:tcPr>
          <w:p>
            <w:pPr>
              <w:spacing w:after="0"/>
              <w:rPr>
                <w:sz w:val="19"/>
                <w:szCs w:val="19"/>
                <w:color w:val="auto"/>
              </w:rPr>
            </w:pPr>
          </w:p>
        </w:tc>
        <w:tc>
          <w:tcPr>
            <w:tcW w:w="120" w:type="dxa"/>
            <w:vAlign w:val="bottom"/>
            <w:tcBorders>
              <w:top w:val="single" w:sz="8" w:color="3051F2"/>
            </w:tcBorders>
          </w:tcPr>
          <w:p>
            <w:pPr>
              <w:spacing w:after="0"/>
              <w:rPr>
                <w:sz w:val="19"/>
                <w:szCs w:val="19"/>
                <w:color w:val="auto"/>
              </w:rPr>
            </w:pPr>
          </w:p>
        </w:tc>
        <w:tc>
          <w:tcPr>
            <w:tcW w:w="380" w:type="dxa"/>
            <w:vAlign w:val="bottom"/>
            <w:tcBorders>
              <w:top w:val="single" w:sz="8" w:color="3051F2"/>
            </w:tcBorders>
          </w:tcPr>
          <w:p>
            <w:pPr>
              <w:spacing w:after="0"/>
              <w:rPr>
                <w:sz w:val="19"/>
                <w:szCs w:val="19"/>
                <w:color w:val="auto"/>
              </w:rPr>
            </w:pPr>
          </w:p>
        </w:tc>
        <w:tc>
          <w:tcPr>
            <w:tcW w:w="60" w:type="dxa"/>
            <w:vAlign w:val="bottom"/>
            <w:tcBorders>
              <w:top w:val="single" w:sz="8" w:color="3051F2"/>
            </w:tcBorders>
          </w:tcPr>
          <w:p>
            <w:pPr>
              <w:spacing w:after="0"/>
              <w:rPr>
                <w:sz w:val="19"/>
                <w:szCs w:val="19"/>
                <w:color w:val="auto"/>
              </w:rPr>
            </w:pPr>
          </w:p>
        </w:tc>
        <w:tc>
          <w:tcPr>
            <w:tcW w:w="720" w:type="dxa"/>
            <w:vAlign w:val="bottom"/>
            <w:tcBorders>
              <w:top w:val="single" w:sz="8" w:color="3051F2"/>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37"/>
        </w:trPr>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160" w:type="dxa"/>
            <w:vAlign w:val="bottom"/>
            <w:gridSpan w:val="13"/>
            <w:shd w:val="clear" w:color="auto" w:fill="CCEEFF"/>
          </w:tcPr>
          <w:p>
            <w:pPr>
              <w:jc w:val="center"/>
              <w:ind w:right="3800"/>
              <w:spacing w:after="0" w:line="203" w:lineRule="exact"/>
              <w:rPr>
                <w:sz w:val="20"/>
                <w:szCs w:val="20"/>
                <w:color w:val="auto"/>
              </w:rPr>
            </w:pPr>
            <w:r>
              <w:rPr>
                <w:rFonts w:ascii="Times New Roman" w:cs="Times New Roman" w:eastAsia="Times New Roman" w:hAnsi="Times New Roman"/>
                <w:sz w:val="20"/>
                <w:szCs w:val="20"/>
                <w:color w:val="3051F2"/>
                <w:w w:val="98"/>
              </w:rPr>
              <w:t>Part I – Financial Information</w:t>
            </w:r>
          </w:p>
        </w:tc>
        <w:tc>
          <w:tcPr>
            <w:tcW w:w="13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rPr>
              <w:t>6</w:t>
            </w:r>
          </w:p>
        </w:tc>
        <w:tc>
          <w:tcPr>
            <w:tcW w:w="20" w:type="dxa"/>
            <w:vAlign w:val="bottom"/>
            <w:shd w:val="clear" w:color="auto" w:fill="CCEEFF"/>
          </w:tcPr>
          <w:p>
            <w:pPr>
              <w:spacing w:after="0"/>
              <w:rPr>
                <w:sz w:val="20"/>
                <w:szCs w:val="20"/>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3700" w:type="dxa"/>
            <w:vAlign w:val="bottom"/>
            <w:tcBorders>
              <w:top w:val="single" w:sz="8" w:color="CCEEFF"/>
            </w:tcBorders>
            <w:gridSpan w:val="11"/>
          </w:tcPr>
          <w:p>
            <w:pPr>
              <w:spacing w:after="0" w:line="203" w:lineRule="exact"/>
              <w:rPr>
                <w:sz w:val="20"/>
                <w:szCs w:val="20"/>
                <w:color w:val="auto"/>
              </w:rPr>
            </w:pPr>
            <w:r>
              <w:rPr>
                <w:rFonts w:ascii="Times New Roman" w:cs="Times New Roman" w:eastAsia="Times New Roman" w:hAnsi="Times New Roman"/>
                <w:sz w:val="20"/>
                <w:szCs w:val="20"/>
                <w:color w:val="3051F2"/>
              </w:rPr>
              <w:t>Item 1. Financial Statements (Unaudited)</w:t>
            </w:r>
          </w:p>
        </w:tc>
        <w:tc>
          <w:tcPr>
            <w:tcW w:w="2360" w:type="dxa"/>
            <w:vAlign w:val="bottom"/>
            <w:tcBorders>
              <w:top w:val="single" w:sz="8" w:color="3051F2"/>
            </w:tcBorders>
            <w:gridSpan w:val="9"/>
          </w:tcPr>
          <w:p>
            <w:pPr>
              <w:spacing w:after="0"/>
              <w:rPr>
                <w:sz w:val="17"/>
                <w:szCs w:val="17"/>
                <w:color w:val="auto"/>
              </w:rPr>
            </w:pPr>
          </w:p>
        </w:tc>
        <w:tc>
          <w:tcPr>
            <w:tcW w:w="3800" w:type="dxa"/>
            <w:vAlign w:val="bottom"/>
            <w:tcBorders>
              <w:top w:val="single" w:sz="8" w:color="CCEEFF"/>
            </w:tcBorders>
            <w:gridSpan w:val="4"/>
          </w:tcPr>
          <w:p>
            <w:pPr>
              <w:spacing w:after="0"/>
              <w:rPr>
                <w:sz w:val="17"/>
                <w:szCs w:val="17"/>
                <w:color w:val="auto"/>
              </w:rPr>
            </w:pPr>
          </w:p>
        </w:tc>
        <w:tc>
          <w:tcPr>
            <w:tcW w:w="124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3051F2"/>
            </w:tcBorders>
          </w:tcPr>
          <w:p>
            <w:pPr>
              <w:jc w:val="right"/>
              <w:spacing w:after="0" w:line="203" w:lineRule="exact"/>
              <w:rPr>
                <w:sz w:val="20"/>
                <w:szCs w:val="20"/>
                <w:color w:val="auto"/>
              </w:rPr>
            </w:pPr>
            <w:r>
              <w:rPr>
                <w:rFonts w:ascii="Times New Roman" w:cs="Times New Roman" w:eastAsia="Times New Roman" w:hAnsi="Times New Roman"/>
                <w:sz w:val="20"/>
                <w:szCs w:val="20"/>
                <w:color w:val="3051F2"/>
                <w:w w:val="79"/>
              </w:rPr>
              <w:t>6</w:t>
            </w:r>
          </w:p>
        </w:tc>
        <w:tc>
          <w:tcPr>
            <w:tcW w:w="20" w:type="dxa"/>
            <w:vAlign w:val="bottom"/>
            <w:tcBorders>
              <w:top w:val="single" w:sz="8" w:color="CCEEFF"/>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62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3051F2"/>
            </w:tcBorders>
            <w:gridSpan w:val="1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w w:val="98"/>
              </w:rPr>
              <w:t>Condensed Consolidated Statements of Operations</w:t>
            </w:r>
          </w:p>
        </w:tc>
        <w:tc>
          <w:tcPr>
            <w:tcW w:w="5660" w:type="dxa"/>
            <w:vAlign w:val="bottom"/>
            <w:tcBorders>
              <w:bottom w:val="single" w:sz="8" w:color="CCEEFF"/>
            </w:tcBorders>
            <w:gridSpan w:val="11"/>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3051F2"/>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w w:val="79"/>
              </w:rPr>
              <w:t>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00" w:type="dxa"/>
            <w:vAlign w:val="bottom"/>
            <w:gridSpan w:val="23"/>
          </w:tcPr>
          <w:p>
            <w:pPr>
              <w:spacing w:after="0" w:line="203" w:lineRule="exact"/>
              <w:rPr>
                <w:sz w:val="20"/>
                <w:szCs w:val="20"/>
                <w:color w:val="auto"/>
              </w:rPr>
            </w:pPr>
            <w:r>
              <w:rPr>
                <w:rFonts w:ascii="Times New Roman" w:cs="Times New Roman" w:eastAsia="Times New Roman" w:hAnsi="Times New Roman"/>
                <w:sz w:val="20"/>
                <w:szCs w:val="20"/>
                <w:color w:val="3051F2"/>
              </w:rPr>
              <w:t>Condensed Consolidated Statements of Comprehensive Income (Loss)</w:t>
            </w:r>
          </w:p>
        </w:tc>
        <w:tc>
          <w:tcPr>
            <w:tcW w:w="1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3051F2"/>
              </w:rPr>
              <w:t>7</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62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80" w:type="dxa"/>
            <w:vAlign w:val="bottom"/>
            <w:tcBorders>
              <w:top w:val="single" w:sz="8" w:color="3051F2"/>
            </w:tcBorders>
          </w:tcPr>
          <w:p>
            <w:pPr>
              <w:spacing w:after="0"/>
              <w:rPr>
                <w:sz w:val="2"/>
                <w:szCs w:val="2"/>
                <w:color w:val="auto"/>
              </w:rPr>
            </w:pPr>
          </w:p>
        </w:tc>
        <w:tc>
          <w:tcPr>
            <w:tcW w:w="60" w:type="dxa"/>
            <w:vAlign w:val="bottom"/>
            <w:tcBorders>
              <w:top w:val="single" w:sz="8" w:color="3051F2"/>
            </w:tcBorders>
          </w:tcPr>
          <w:p>
            <w:pPr>
              <w:spacing w:after="0"/>
              <w:rPr>
                <w:sz w:val="2"/>
                <w:szCs w:val="2"/>
                <w:color w:val="auto"/>
              </w:rPr>
            </w:pPr>
          </w:p>
        </w:tc>
        <w:tc>
          <w:tcPr>
            <w:tcW w:w="720" w:type="dxa"/>
            <w:vAlign w:val="bottom"/>
            <w:tcBorders>
              <w:top w:val="single" w:sz="8" w:color="3051F2"/>
            </w:tcBorders>
          </w:tcPr>
          <w:p>
            <w:pPr>
              <w:spacing w:after="0"/>
              <w:rPr>
                <w:sz w:val="2"/>
                <w:szCs w:val="2"/>
                <w:color w:val="auto"/>
              </w:rPr>
            </w:pPr>
          </w:p>
        </w:tc>
        <w:tc>
          <w:tcPr>
            <w:tcW w:w="420" w:type="dxa"/>
            <w:vAlign w:val="bottom"/>
            <w:tcBorders>
              <w:top w:val="single" w:sz="8" w:color="3051F2"/>
            </w:tcBorders>
          </w:tcPr>
          <w:p>
            <w:pPr>
              <w:spacing w:after="0"/>
              <w:rPr>
                <w:sz w:val="2"/>
                <w:szCs w:val="2"/>
                <w:color w:val="auto"/>
              </w:rPr>
            </w:pPr>
          </w:p>
        </w:tc>
        <w:tc>
          <w:tcPr>
            <w:tcW w:w="360" w:type="dxa"/>
            <w:vAlign w:val="bottom"/>
            <w:tcBorders>
              <w:top w:val="single" w:sz="8" w:color="3051F2"/>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3051F2"/>
            </w:tcBorders>
            <w:gridSpan w:val="9"/>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w w:val="98"/>
              </w:rPr>
              <w:t>Condensed Consolidated Balance Sheets</w:t>
            </w:r>
          </w:p>
        </w:tc>
        <w:tc>
          <w:tcPr>
            <w:tcW w:w="6460" w:type="dxa"/>
            <w:vAlign w:val="bottom"/>
            <w:tcBorders>
              <w:bottom w:val="single" w:sz="8" w:color="CCEEFF"/>
            </w:tcBorders>
            <w:gridSpan w:val="14"/>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3051F2"/>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w w:val="79"/>
              </w:rPr>
              <w:t>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00" w:type="dxa"/>
            <w:vAlign w:val="bottom"/>
            <w:gridSpan w:val="23"/>
          </w:tcPr>
          <w:p>
            <w:pPr>
              <w:spacing w:after="0" w:line="203" w:lineRule="exact"/>
              <w:rPr>
                <w:sz w:val="20"/>
                <w:szCs w:val="20"/>
                <w:color w:val="auto"/>
              </w:rPr>
            </w:pPr>
            <w:r>
              <w:rPr>
                <w:rFonts w:ascii="Times New Roman" w:cs="Times New Roman" w:eastAsia="Times New Roman" w:hAnsi="Times New Roman"/>
                <w:sz w:val="20"/>
                <w:szCs w:val="20"/>
                <w:color w:val="3051F2"/>
              </w:rPr>
              <w:t>Condensed Consolidated Statements of Changes in Temporary Equity and Stockholders' Equity</w:t>
            </w:r>
          </w:p>
        </w:tc>
        <w:tc>
          <w:tcPr>
            <w:tcW w:w="1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3051F2"/>
              </w:rPr>
              <w:t>9</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62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80" w:type="dxa"/>
            <w:vAlign w:val="bottom"/>
            <w:tcBorders>
              <w:top w:val="single" w:sz="8" w:color="3051F2"/>
            </w:tcBorders>
          </w:tcPr>
          <w:p>
            <w:pPr>
              <w:spacing w:after="0"/>
              <w:rPr>
                <w:sz w:val="2"/>
                <w:szCs w:val="2"/>
                <w:color w:val="auto"/>
              </w:rPr>
            </w:pPr>
          </w:p>
        </w:tc>
        <w:tc>
          <w:tcPr>
            <w:tcW w:w="60" w:type="dxa"/>
            <w:vAlign w:val="bottom"/>
            <w:tcBorders>
              <w:top w:val="single" w:sz="8" w:color="3051F2"/>
            </w:tcBorders>
          </w:tcPr>
          <w:p>
            <w:pPr>
              <w:spacing w:after="0"/>
              <w:rPr>
                <w:sz w:val="2"/>
                <w:szCs w:val="2"/>
                <w:color w:val="auto"/>
              </w:rPr>
            </w:pPr>
          </w:p>
        </w:tc>
        <w:tc>
          <w:tcPr>
            <w:tcW w:w="720" w:type="dxa"/>
            <w:vAlign w:val="bottom"/>
            <w:tcBorders>
              <w:top w:val="single" w:sz="8" w:color="3051F2"/>
            </w:tcBorders>
          </w:tcPr>
          <w:p>
            <w:pPr>
              <w:spacing w:after="0"/>
              <w:rPr>
                <w:sz w:val="2"/>
                <w:szCs w:val="2"/>
                <w:color w:val="auto"/>
              </w:rPr>
            </w:pPr>
          </w:p>
        </w:tc>
        <w:tc>
          <w:tcPr>
            <w:tcW w:w="420" w:type="dxa"/>
            <w:vAlign w:val="bottom"/>
            <w:tcBorders>
              <w:top w:val="single" w:sz="8" w:color="3051F2"/>
            </w:tcBorders>
          </w:tcPr>
          <w:p>
            <w:pPr>
              <w:spacing w:after="0"/>
              <w:rPr>
                <w:sz w:val="2"/>
                <w:szCs w:val="2"/>
                <w:color w:val="auto"/>
              </w:rPr>
            </w:pPr>
          </w:p>
        </w:tc>
        <w:tc>
          <w:tcPr>
            <w:tcW w:w="360" w:type="dxa"/>
            <w:vAlign w:val="bottom"/>
            <w:tcBorders>
              <w:top w:val="single" w:sz="8" w:color="3051F2"/>
            </w:tcBorders>
          </w:tcPr>
          <w:p>
            <w:pPr>
              <w:spacing w:after="0"/>
              <w:rPr>
                <w:sz w:val="2"/>
                <w:szCs w:val="2"/>
                <w:color w:val="auto"/>
              </w:rPr>
            </w:pPr>
          </w:p>
        </w:tc>
        <w:tc>
          <w:tcPr>
            <w:tcW w:w="140" w:type="dxa"/>
            <w:vAlign w:val="bottom"/>
            <w:tcBorders>
              <w:top w:val="single" w:sz="8" w:color="3051F2"/>
            </w:tcBorders>
          </w:tcPr>
          <w:p>
            <w:pPr>
              <w:spacing w:after="0"/>
              <w:rPr>
                <w:sz w:val="2"/>
                <w:szCs w:val="2"/>
                <w:color w:val="auto"/>
              </w:rPr>
            </w:pPr>
          </w:p>
        </w:tc>
        <w:tc>
          <w:tcPr>
            <w:tcW w:w="6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64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3051F2"/>
            </w:tcBorders>
            <w:gridSpan w:val="13"/>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w w:val="98"/>
              </w:rPr>
              <w:t>Condensed Consolidated Statements of Cash Flows</w:t>
            </w:r>
          </w:p>
        </w:tc>
        <w:tc>
          <w:tcPr>
            <w:tcW w:w="5600" w:type="dxa"/>
            <w:vAlign w:val="bottom"/>
            <w:tcBorders>
              <w:bottom w:val="single" w:sz="8" w:color="CCEEFF"/>
            </w:tcBorders>
            <w:gridSpan w:val="10"/>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3051F2"/>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w w:val="89"/>
              </w:rPr>
              <w:t>13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00" w:type="dxa"/>
            <w:vAlign w:val="bottom"/>
            <w:gridSpan w:val="23"/>
          </w:tcPr>
          <w:p>
            <w:pPr>
              <w:spacing w:after="0" w:line="203" w:lineRule="exact"/>
              <w:rPr>
                <w:sz w:val="20"/>
                <w:szCs w:val="20"/>
                <w:color w:val="auto"/>
              </w:rPr>
            </w:pPr>
            <w:r>
              <w:rPr>
                <w:rFonts w:ascii="Times New Roman" w:cs="Times New Roman" w:eastAsia="Times New Roman" w:hAnsi="Times New Roman"/>
                <w:sz w:val="20"/>
                <w:szCs w:val="20"/>
                <w:color w:val="3051F2"/>
              </w:rPr>
              <w:t>Notes Accompanying the Condensed Consolidated Financial Statements</w:t>
            </w:r>
          </w:p>
        </w:tc>
        <w:tc>
          <w:tcPr>
            <w:tcW w:w="1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3051F2"/>
              </w:rPr>
              <w:t>14</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62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80" w:type="dxa"/>
            <w:vAlign w:val="bottom"/>
            <w:tcBorders>
              <w:top w:val="single" w:sz="8" w:color="3051F2"/>
            </w:tcBorders>
          </w:tcPr>
          <w:p>
            <w:pPr>
              <w:spacing w:after="0"/>
              <w:rPr>
                <w:sz w:val="2"/>
                <w:szCs w:val="2"/>
                <w:color w:val="auto"/>
              </w:rPr>
            </w:pPr>
          </w:p>
        </w:tc>
        <w:tc>
          <w:tcPr>
            <w:tcW w:w="60" w:type="dxa"/>
            <w:vAlign w:val="bottom"/>
            <w:tcBorders>
              <w:top w:val="single" w:sz="8" w:color="3051F2"/>
            </w:tcBorders>
          </w:tcPr>
          <w:p>
            <w:pPr>
              <w:spacing w:after="0"/>
              <w:rPr>
                <w:sz w:val="2"/>
                <w:szCs w:val="2"/>
                <w:color w:val="auto"/>
              </w:rPr>
            </w:pPr>
          </w:p>
        </w:tc>
        <w:tc>
          <w:tcPr>
            <w:tcW w:w="720" w:type="dxa"/>
            <w:vAlign w:val="bottom"/>
            <w:tcBorders>
              <w:top w:val="single" w:sz="8" w:color="3051F2"/>
            </w:tcBorders>
          </w:tcPr>
          <w:p>
            <w:pPr>
              <w:spacing w:after="0"/>
              <w:rPr>
                <w:sz w:val="2"/>
                <w:szCs w:val="2"/>
                <w:color w:val="auto"/>
              </w:rPr>
            </w:pPr>
          </w:p>
        </w:tc>
        <w:tc>
          <w:tcPr>
            <w:tcW w:w="420" w:type="dxa"/>
            <w:vAlign w:val="bottom"/>
            <w:tcBorders>
              <w:top w:val="single" w:sz="8" w:color="3051F2"/>
            </w:tcBorders>
          </w:tcPr>
          <w:p>
            <w:pPr>
              <w:spacing w:after="0"/>
              <w:rPr>
                <w:sz w:val="2"/>
                <w:szCs w:val="2"/>
                <w:color w:val="auto"/>
              </w:rPr>
            </w:pPr>
          </w:p>
        </w:tc>
        <w:tc>
          <w:tcPr>
            <w:tcW w:w="360" w:type="dxa"/>
            <w:vAlign w:val="bottom"/>
            <w:tcBorders>
              <w:top w:val="single" w:sz="8" w:color="3051F2"/>
            </w:tcBorders>
          </w:tcPr>
          <w:p>
            <w:pPr>
              <w:spacing w:after="0"/>
              <w:rPr>
                <w:sz w:val="2"/>
                <w:szCs w:val="2"/>
                <w:color w:val="auto"/>
              </w:rPr>
            </w:pPr>
          </w:p>
        </w:tc>
        <w:tc>
          <w:tcPr>
            <w:tcW w:w="140" w:type="dxa"/>
            <w:vAlign w:val="bottom"/>
            <w:tcBorders>
              <w:top w:val="single" w:sz="8" w:color="3051F2"/>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3051F2"/>
            </w:tcBorders>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w w:val="98"/>
              </w:rPr>
              <w:t>Item 2. Management's Discussion and Analysis of Financial Condition and Results of Operations</w:t>
            </w:r>
          </w:p>
        </w:tc>
        <w:tc>
          <w:tcPr>
            <w:tcW w:w="2160" w:type="dxa"/>
            <w:vAlign w:val="bottom"/>
            <w:tcBorders>
              <w:bottom w:val="single" w:sz="8" w:color="CCEEFF"/>
            </w:tcBorders>
            <w:gridSpan w:val="3"/>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3051F2"/>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w w:val="89"/>
              </w:rPr>
              <w:t>52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860" w:type="dxa"/>
            <w:vAlign w:val="bottom"/>
            <w:gridSpan w:val="24"/>
          </w:tcPr>
          <w:p>
            <w:pPr>
              <w:spacing w:after="0" w:line="203" w:lineRule="exact"/>
              <w:rPr>
                <w:sz w:val="20"/>
                <w:szCs w:val="20"/>
                <w:color w:val="auto"/>
              </w:rPr>
            </w:pPr>
            <w:r>
              <w:rPr>
                <w:rFonts w:ascii="Times New Roman" w:cs="Times New Roman" w:eastAsia="Times New Roman" w:hAnsi="Times New Roman"/>
                <w:sz w:val="20"/>
                <w:szCs w:val="20"/>
                <w:color w:val="3051F2"/>
              </w:rPr>
              <w:t>Item 3. Quantitative and Qualitative Disclosures About Market Risk</w:t>
            </w:r>
          </w:p>
        </w:tc>
        <w:tc>
          <w:tcPr>
            <w:tcW w:w="1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3051F2"/>
              </w:rPr>
              <w:t>77</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62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80" w:type="dxa"/>
            <w:vAlign w:val="bottom"/>
            <w:tcBorders>
              <w:top w:val="single" w:sz="8" w:color="3051F2"/>
            </w:tcBorders>
          </w:tcPr>
          <w:p>
            <w:pPr>
              <w:spacing w:after="0"/>
              <w:rPr>
                <w:sz w:val="2"/>
                <w:szCs w:val="2"/>
                <w:color w:val="auto"/>
              </w:rPr>
            </w:pPr>
          </w:p>
        </w:tc>
        <w:tc>
          <w:tcPr>
            <w:tcW w:w="60" w:type="dxa"/>
            <w:vAlign w:val="bottom"/>
            <w:tcBorders>
              <w:top w:val="single" w:sz="8" w:color="3051F2"/>
            </w:tcBorders>
          </w:tcPr>
          <w:p>
            <w:pPr>
              <w:spacing w:after="0"/>
              <w:rPr>
                <w:sz w:val="2"/>
                <w:szCs w:val="2"/>
                <w:color w:val="auto"/>
              </w:rPr>
            </w:pPr>
          </w:p>
        </w:tc>
        <w:tc>
          <w:tcPr>
            <w:tcW w:w="720" w:type="dxa"/>
            <w:vAlign w:val="bottom"/>
            <w:tcBorders>
              <w:top w:val="single" w:sz="8" w:color="3051F2"/>
            </w:tcBorders>
          </w:tcPr>
          <w:p>
            <w:pPr>
              <w:spacing w:after="0"/>
              <w:rPr>
                <w:sz w:val="2"/>
                <w:szCs w:val="2"/>
                <w:color w:val="auto"/>
              </w:rPr>
            </w:pPr>
          </w:p>
        </w:tc>
        <w:tc>
          <w:tcPr>
            <w:tcW w:w="420" w:type="dxa"/>
            <w:vAlign w:val="bottom"/>
            <w:tcBorders>
              <w:top w:val="single" w:sz="8" w:color="3051F2"/>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986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rPr>
              <w:t>Item 4. Controls and Procedures</w:t>
            </w:r>
          </w:p>
        </w:tc>
        <w:tc>
          <w:tcPr>
            <w:tcW w:w="13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rPr>
              <w:t>78</w:t>
            </w:r>
          </w:p>
        </w:tc>
        <w:tc>
          <w:tcPr>
            <w:tcW w:w="20" w:type="dxa"/>
            <w:vAlign w:val="bottom"/>
            <w:shd w:val="clear" w:color="auto" w:fill="CCEEFF"/>
          </w:tcPr>
          <w:p>
            <w:pPr>
              <w:spacing w:after="0"/>
              <w:rPr>
                <w:sz w:val="20"/>
                <w:szCs w:val="20"/>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3051F2"/>
            </w:tcBorders>
          </w:tcPr>
          <w:p>
            <w:pPr>
              <w:spacing w:after="0"/>
              <w:rPr>
                <w:sz w:val="19"/>
                <w:szCs w:val="19"/>
                <w:color w:val="auto"/>
              </w:rPr>
            </w:pPr>
          </w:p>
        </w:tc>
        <w:tc>
          <w:tcPr>
            <w:tcW w:w="680" w:type="dxa"/>
            <w:vAlign w:val="bottom"/>
            <w:tcBorders>
              <w:top w:val="single" w:sz="8" w:color="3051F2"/>
            </w:tcBorders>
          </w:tcPr>
          <w:p>
            <w:pPr>
              <w:spacing w:after="0"/>
              <w:rPr>
                <w:sz w:val="19"/>
                <w:szCs w:val="19"/>
                <w:color w:val="auto"/>
              </w:rPr>
            </w:pPr>
          </w:p>
        </w:tc>
        <w:tc>
          <w:tcPr>
            <w:tcW w:w="440" w:type="dxa"/>
            <w:vAlign w:val="bottom"/>
            <w:tcBorders>
              <w:top w:val="single" w:sz="8" w:color="3051F2"/>
            </w:tcBorders>
          </w:tcPr>
          <w:p>
            <w:pPr>
              <w:spacing w:after="0"/>
              <w:rPr>
                <w:sz w:val="19"/>
                <w:szCs w:val="19"/>
                <w:color w:val="auto"/>
              </w:rPr>
            </w:pPr>
          </w:p>
        </w:tc>
        <w:tc>
          <w:tcPr>
            <w:tcW w:w="480" w:type="dxa"/>
            <w:vAlign w:val="bottom"/>
            <w:tcBorders>
              <w:top w:val="single" w:sz="8" w:color="3051F2"/>
            </w:tcBorders>
          </w:tcPr>
          <w:p>
            <w:pPr>
              <w:spacing w:after="0"/>
              <w:rPr>
                <w:sz w:val="19"/>
                <w:szCs w:val="19"/>
                <w:color w:val="auto"/>
              </w:rPr>
            </w:pPr>
          </w:p>
        </w:tc>
        <w:tc>
          <w:tcPr>
            <w:tcW w:w="300" w:type="dxa"/>
            <w:vAlign w:val="bottom"/>
            <w:tcBorders>
              <w:top w:val="single" w:sz="8" w:color="3051F2"/>
            </w:tcBorders>
          </w:tcPr>
          <w:p>
            <w:pPr>
              <w:spacing w:after="0"/>
              <w:rPr>
                <w:sz w:val="19"/>
                <w:szCs w:val="19"/>
                <w:color w:val="auto"/>
              </w:rPr>
            </w:pPr>
          </w:p>
        </w:tc>
        <w:tc>
          <w:tcPr>
            <w:tcW w:w="20" w:type="dxa"/>
            <w:vAlign w:val="bottom"/>
            <w:tcBorders>
              <w:top w:val="single" w:sz="8" w:color="3051F2"/>
            </w:tcBorders>
          </w:tcPr>
          <w:p>
            <w:pPr>
              <w:spacing w:after="0"/>
              <w:rPr>
                <w:sz w:val="19"/>
                <w:szCs w:val="19"/>
                <w:color w:val="auto"/>
              </w:rPr>
            </w:pPr>
          </w:p>
        </w:tc>
        <w:tc>
          <w:tcPr>
            <w:tcW w:w="480" w:type="dxa"/>
            <w:vAlign w:val="bottom"/>
            <w:tcBorders>
              <w:top w:val="single" w:sz="8" w:color="3051F2"/>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100" w:type="dxa"/>
            <w:vAlign w:val="bottom"/>
            <w:tcBorders>
              <w:top w:val="single" w:sz="8" w:color="3051F2"/>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3051F2"/>
            </w:tcBorders>
            <w:gridSpan w:val="7"/>
            <w:shd w:val="clear" w:color="auto" w:fill="CCEEFF"/>
          </w:tcPr>
          <w:p>
            <w:pPr>
              <w:jc w:val="center"/>
              <w:spacing w:after="0" w:line="203" w:lineRule="exact"/>
              <w:rPr>
                <w:sz w:val="20"/>
                <w:szCs w:val="20"/>
                <w:color w:val="auto"/>
              </w:rPr>
            </w:pPr>
            <w:r>
              <w:rPr>
                <w:rFonts w:ascii="Times New Roman" w:cs="Times New Roman" w:eastAsia="Times New Roman" w:hAnsi="Times New Roman"/>
                <w:sz w:val="20"/>
                <w:szCs w:val="20"/>
                <w:color w:val="3051F2"/>
                <w:w w:val="98"/>
              </w:rPr>
              <w:t>Part II – Other Information</w:t>
            </w:r>
          </w:p>
        </w:tc>
        <w:tc>
          <w:tcPr>
            <w:tcW w:w="3900" w:type="dxa"/>
            <w:vAlign w:val="bottom"/>
            <w:tcBorders>
              <w:bottom w:val="single" w:sz="8" w:color="CCEEFF"/>
            </w:tcBorders>
            <w:gridSpan w:val="5"/>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3051F2"/>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w w:val="89"/>
              </w:rPr>
              <w:t>79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9860" w:type="dxa"/>
            <w:vAlign w:val="bottom"/>
            <w:gridSpan w:val="24"/>
          </w:tcPr>
          <w:p>
            <w:pPr>
              <w:spacing w:after="0" w:line="203" w:lineRule="exact"/>
              <w:rPr>
                <w:sz w:val="20"/>
                <w:szCs w:val="20"/>
                <w:color w:val="auto"/>
              </w:rPr>
            </w:pPr>
            <w:r>
              <w:rPr>
                <w:rFonts w:ascii="Times New Roman" w:cs="Times New Roman" w:eastAsia="Times New Roman" w:hAnsi="Times New Roman"/>
                <w:sz w:val="20"/>
                <w:szCs w:val="20"/>
                <w:color w:val="3051F2"/>
              </w:rPr>
              <w:t>Item 1. Legal Proceedings</w:t>
            </w:r>
          </w:p>
        </w:tc>
        <w:tc>
          <w:tcPr>
            <w:tcW w:w="1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3051F2"/>
              </w:rPr>
              <w:t>79</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3051F2"/>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w w:val="98"/>
              </w:rPr>
              <w:t>Item 1A. Risk Factors</w:t>
            </w:r>
          </w:p>
        </w:tc>
        <w:tc>
          <w:tcPr>
            <w:tcW w:w="8100" w:type="dxa"/>
            <w:vAlign w:val="bottom"/>
            <w:tcBorders>
              <w:bottom w:val="single" w:sz="8" w:color="CCEEFF"/>
            </w:tcBorders>
            <w:gridSpan w:val="20"/>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3051F2"/>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w w:val="89"/>
              </w:rPr>
              <w:t>79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860" w:type="dxa"/>
            <w:vAlign w:val="bottom"/>
            <w:gridSpan w:val="24"/>
          </w:tcPr>
          <w:p>
            <w:pPr>
              <w:spacing w:after="0" w:line="203" w:lineRule="exact"/>
              <w:rPr>
                <w:sz w:val="20"/>
                <w:szCs w:val="20"/>
                <w:color w:val="auto"/>
              </w:rPr>
            </w:pPr>
            <w:r>
              <w:rPr>
                <w:rFonts w:ascii="Times New Roman" w:cs="Times New Roman" w:eastAsia="Times New Roman" w:hAnsi="Times New Roman"/>
                <w:sz w:val="20"/>
                <w:szCs w:val="20"/>
                <w:color w:val="3051F2"/>
              </w:rPr>
              <w:t>Item 2. Unregistered Sales of Equity Securities and Use of Proceeds</w:t>
            </w:r>
          </w:p>
        </w:tc>
        <w:tc>
          <w:tcPr>
            <w:tcW w:w="1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3051F2"/>
              </w:rPr>
              <w:t>79</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62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380" w:type="dxa"/>
            <w:vAlign w:val="bottom"/>
            <w:tcBorders>
              <w:top w:val="single" w:sz="8" w:color="3051F2"/>
            </w:tcBorders>
          </w:tcPr>
          <w:p>
            <w:pPr>
              <w:spacing w:after="0"/>
              <w:rPr>
                <w:sz w:val="2"/>
                <w:szCs w:val="2"/>
                <w:color w:val="auto"/>
              </w:rPr>
            </w:pPr>
          </w:p>
        </w:tc>
        <w:tc>
          <w:tcPr>
            <w:tcW w:w="60" w:type="dxa"/>
            <w:vAlign w:val="bottom"/>
            <w:tcBorders>
              <w:top w:val="single" w:sz="8" w:color="3051F2"/>
            </w:tcBorders>
          </w:tcPr>
          <w:p>
            <w:pPr>
              <w:spacing w:after="0"/>
              <w:rPr>
                <w:sz w:val="2"/>
                <w:szCs w:val="2"/>
                <w:color w:val="auto"/>
              </w:rPr>
            </w:pPr>
          </w:p>
        </w:tc>
        <w:tc>
          <w:tcPr>
            <w:tcW w:w="720" w:type="dxa"/>
            <w:vAlign w:val="bottom"/>
            <w:tcBorders>
              <w:top w:val="single" w:sz="8" w:color="3051F2"/>
            </w:tcBorders>
          </w:tcPr>
          <w:p>
            <w:pPr>
              <w:spacing w:after="0"/>
              <w:rPr>
                <w:sz w:val="2"/>
                <w:szCs w:val="2"/>
                <w:color w:val="auto"/>
              </w:rPr>
            </w:pPr>
          </w:p>
        </w:tc>
        <w:tc>
          <w:tcPr>
            <w:tcW w:w="420" w:type="dxa"/>
            <w:vAlign w:val="bottom"/>
            <w:tcBorders>
              <w:top w:val="single" w:sz="8" w:color="3051F2"/>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3051F2"/>
            </w:tcBorders>
            <w:gridSpan w:val="8"/>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w w:val="98"/>
              </w:rPr>
              <w:t>Item 3. Defaults Upon Senior Securities</w:t>
            </w:r>
          </w:p>
        </w:tc>
        <w:tc>
          <w:tcPr>
            <w:tcW w:w="6680" w:type="dxa"/>
            <w:vAlign w:val="bottom"/>
            <w:tcBorders>
              <w:bottom w:val="single" w:sz="8" w:color="CCEEFF"/>
            </w:tcBorders>
            <w:gridSpan w:val="16"/>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3051F2"/>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w w:val="89"/>
              </w:rPr>
              <w:t>79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860" w:type="dxa"/>
            <w:vAlign w:val="bottom"/>
            <w:gridSpan w:val="24"/>
          </w:tcPr>
          <w:p>
            <w:pPr>
              <w:spacing w:after="0" w:line="203" w:lineRule="exact"/>
              <w:rPr>
                <w:sz w:val="20"/>
                <w:szCs w:val="20"/>
                <w:color w:val="auto"/>
              </w:rPr>
            </w:pPr>
            <w:r>
              <w:rPr>
                <w:rFonts w:ascii="Times New Roman" w:cs="Times New Roman" w:eastAsia="Times New Roman" w:hAnsi="Times New Roman"/>
                <w:sz w:val="20"/>
                <w:szCs w:val="20"/>
                <w:color w:val="3051F2"/>
              </w:rPr>
              <w:t>Item 4. Mine Safety Disclosures</w:t>
            </w:r>
          </w:p>
        </w:tc>
        <w:tc>
          <w:tcPr>
            <w:tcW w:w="13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3051F2"/>
              </w:rPr>
              <w:t>79</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480" w:type="dxa"/>
            <w:vAlign w:val="bottom"/>
            <w:tcBorders>
              <w:top w:val="single" w:sz="8" w:color="3051F2"/>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986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rPr>
              <w:t>Item 5. Other Information</w:t>
            </w:r>
          </w:p>
        </w:tc>
        <w:tc>
          <w:tcPr>
            <w:tcW w:w="13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rPr>
              <w:t>79</w:t>
            </w:r>
          </w:p>
        </w:tc>
        <w:tc>
          <w:tcPr>
            <w:tcW w:w="20" w:type="dxa"/>
            <w:vAlign w:val="bottom"/>
            <w:shd w:val="clear" w:color="auto" w:fill="CCEEFF"/>
          </w:tcPr>
          <w:p>
            <w:pPr>
              <w:spacing w:after="0"/>
              <w:rPr>
                <w:sz w:val="20"/>
                <w:szCs w:val="20"/>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060" w:type="dxa"/>
            <w:vAlign w:val="bottom"/>
            <w:tcBorders>
              <w:top w:val="single" w:sz="8" w:color="3051F2"/>
            </w:tcBorders>
            <w:gridSpan w:val="5"/>
          </w:tcPr>
          <w:p>
            <w:pPr>
              <w:spacing w:after="0" w:line="203" w:lineRule="exact"/>
              <w:rPr>
                <w:sz w:val="20"/>
                <w:szCs w:val="20"/>
                <w:color w:val="auto"/>
              </w:rPr>
            </w:pPr>
            <w:r>
              <w:rPr>
                <w:rFonts w:ascii="Times New Roman" w:cs="Times New Roman" w:eastAsia="Times New Roman" w:hAnsi="Times New Roman"/>
                <w:sz w:val="20"/>
                <w:szCs w:val="20"/>
                <w:color w:val="3051F2"/>
              </w:rPr>
              <w:t>Item 6. Exhibits</w:t>
            </w:r>
          </w:p>
        </w:tc>
        <w:tc>
          <w:tcPr>
            <w:tcW w:w="7800" w:type="dxa"/>
            <w:vAlign w:val="bottom"/>
            <w:tcBorders>
              <w:top w:val="single" w:sz="8" w:color="CCEEFF"/>
            </w:tcBorders>
            <w:gridSpan w:val="19"/>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0" w:type="dxa"/>
            <w:vAlign w:val="bottom"/>
            <w:tcBorders>
              <w:top w:val="single" w:sz="8" w:color="3051F2"/>
            </w:tcBorders>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3051F2"/>
                <w:w w:val="89"/>
              </w:rPr>
              <w:t>80</w:t>
            </w:r>
          </w:p>
        </w:tc>
        <w:tc>
          <w:tcPr>
            <w:tcW w:w="20" w:type="dxa"/>
            <w:vAlign w:val="bottom"/>
            <w:tcBorders>
              <w:top w:val="single" w:sz="8" w:color="CCEEFF"/>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680" w:type="dxa"/>
            <w:vAlign w:val="bottom"/>
            <w:tcBorders>
              <w:top w:val="single" w:sz="8" w:color="3051F2"/>
            </w:tcBorders>
          </w:tcPr>
          <w:p>
            <w:pPr>
              <w:spacing w:after="0"/>
              <w:rPr>
                <w:sz w:val="2"/>
                <w:szCs w:val="2"/>
                <w:color w:val="auto"/>
              </w:rPr>
            </w:pPr>
          </w:p>
        </w:tc>
        <w:tc>
          <w:tcPr>
            <w:tcW w:w="440" w:type="dxa"/>
            <w:vAlign w:val="bottom"/>
            <w:tcBorders>
              <w:top w:val="single" w:sz="8" w:color="3051F2"/>
            </w:tcBorders>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100" w:type="dxa"/>
            <w:vAlign w:val="bottom"/>
            <w:tcBorders>
              <w:top w:val="single" w:sz="8" w:color="3051F2"/>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986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3051F2"/>
              </w:rPr>
              <w:t>Signatures</w:t>
            </w:r>
          </w:p>
        </w:tc>
        <w:tc>
          <w:tcPr>
            <w:tcW w:w="13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3051F2"/>
              </w:rPr>
              <w:t>83</w:t>
            </w:r>
          </w:p>
        </w:tc>
        <w:tc>
          <w:tcPr>
            <w:tcW w:w="20" w:type="dxa"/>
            <w:vAlign w:val="bottom"/>
            <w:shd w:val="clear" w:color="auto" w:fill="CCEEFF"/>
          </w:tcPr>
          <w:p>
            <w:pPr>
              <w:spacing w:after="0"/>
              <w:rPr>
                <w:sz w:val="20"/>
                <w:szCs w:val="20"/>
                <w:color w:val="auto"/>
              </w:rPr>
            </w:pPr>
          </w:p>
        </w:tc>
      </w:tr>
      <w:tr>
        <w:trPr>
          <w:trHeight w:val="762"/>
        </w:trPr>
        <w:tc>
          <w:tcPr>
            <w:tcW w:w="20" w:type="dxa"/>
            <w:vAlign w:val="bottom"/>
            <w:tcBorders>
              <w:top w:val="single" w:sz="8" w:color="CCEEFF"/>
            </w:tcBorders>
          </w:tcPr>
          <w:p>
            <w:pPr>
              <w:spacing w:after="0"/>
              <w:rPr>
                <w:sz w:val="24"/>
                <w:szCs w:val="24"/>
                <w:color w:val="auto"/>
              </w:rPr>
            </w:pPr>
          </w:p>
        </w:tc>
        <w:tc>
          <w:tcPr>
            <w:tcW w:w="840" w:type="dxa"/>
            <w:vAlign w:val="bottom"/>
            <w:tcBorders>
              <w:top w:val="single" w:sz="8" w:color="3051F2"/>
            </w:tcBorders>
            <w:gridSpan w:val="2"/>
          </w:tcPr>
          <w:p>
            <w:pPr>
              <w:spacing w:after="0"/>
              <w:rPr>
                <w:sz w:val="24"/>
                <w:szCs w:val="24"/>
                <w:color w:val="auto"/>
              </w:rPr>
            </w:pPr>
          </w:p>
        </w:tc>
        <w:tc>
          <w:tcPr>
            <w:tcW w:w="4920" w:type="dxa"/>
            <w:vAlign w:val="bottom"/>
            <w:tcBorders>
              <w:top w:val="single" w:sz="8" w:color="CCEEFF"/>
            </w:tcBorders>
            <w:gridSpan w:val="15"/>
          </w:tcPr>
          <w:p>
            <w:pPr>
              <w:jc w:val="right"/>
              <w:ind w:right="100"/>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95"/>
        </w:trPr>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 You Can Find More Information</w:t>
      </w:r>
    </w:p>
    <w:p>
      <w:pPr>
        <w:spacing w:after="0" w:line="22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Our Annual Reports on Form 10-K, Quarterly Reports on Form 10-Q, Current Reports on Form 8-K, as well as any amendments to those reports, are available free of charge through our website at investor.hagerty.com after we file them with, or furnish them to, the Securities and</w:t>
      </w:r>
    </w:p>
    <w:p>
      <w:pPr>
        <w:spacing w:after="0" w:line="211" w:lineRule="auto"/>
        <w:rPr>
          <w:sz w:val="20"/>
          <w:szCs w:val="20"/>
          <w:color w:val="auto"/>
        </w:rPr>
      </w:pPr>
      <w:r>
        <w:rPr>
          <w:rFonts w:ascii="Times New Roman" w:cs="Times New Roman" w:eastAsia="Times New Roman" w:hAnsi="Times New Roman"/>
          <w:sz w:val="20"/>
          <w:szCs w:val="20"/>
          <w:color w:val="auto"/>
        </w:rPr>
        <w:t>Exchange Commission ("SEC"). We use our investor relations website, investor.hagerty.com, as a means of disclosing information which</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may be of interest or material to our investors and for complying with disclosure obligations under Regulation FD. Accordingly, investors should monitor our investor relations website, in addition to following our press releases, SEC filings, public conference calls, webcasts, and</w:t>
      </w:r>
    </w:p>
    <w:p>
      <w:pPr>
        <w:spacing w:after="0" w:line="211" w:lineRule="auto"/>
        <w:rPr>
          <w:sz w:val="20"/>
          <w:szCs w:val="20"/>
          <w:color w:val="auto"/>
        </w:rPr>
      </w:pPr>
      <w:r>
        <w:rPr>
          <w:rFonts w:ascii="Times New Roman" w:cs="Times New Roman" w:eastAsia="Times New Roman" w:hAnsi="Times New Roman"/>
          <w:sz w:val="20"/>
          <w:szCs w:val="20"/>
          <w:color w:val="auto"/>
        </w:rPr>
        <w:t>social media channels. Information contained on or accessible through our website or social media channels is not a part of, and is not</w:t>
      </w:r>
    </w:p>
    <w:p>
      <w:pPr>
        <w:ind w:right="260"/>
        <w:spacing w:after="0" w:line="221" w:lineRule="auto"/>
        <w:rPr>
          <w:sz w:val="20"/>
          <w:szCs w:val="20"/>
          <w:color w:val="auto"/>
        </w:rPr>
      </w:pPr>
      <w:r>
        <w:rPr>
          <w:rFonts w:ascii="Times New Roman" w:cs="Times New Roman" w:eastAsia="Times New Roman" w:hAnsi="Times New Roman"/>
          <w:sz w:val="20"/>
          <w:szCs w:val="20"/>
          <w:color w:val="auto"/>
        </w:rPr>
        <w:t>incorporated by reference into, this Quarterly Report on Form 10-Q (this "Quarterly Report") or any other report or document we file with the SEC. Any reference to our website in this Quarterly Report is intended to be an inactive textual reference only.</w:t>
      </w:r>
    </w:p>
    <w:p>
      <w:pPr>
        <w:spacing w:after="0" w:line="18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Unless the context indicates otherwise, the terms "we," "our," "us," "Hagerty," and the "Company" refer to Hagerty, Inc. and its consolidated subsidiaries, including The Hagerty Group, LLC ("THG").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2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This Quarterly Report, as well as other oral or written information we provide, contain statements that constitute "forward-looking statements" within the meaning of the federal securities laws. All statements we provide, other than statements of historical fact, are forward-</w:t>
      </w:r>
    </w:p>
    <w:p>
      <w:pPr>
        <w:spacing w:after="0" w:line="211" w:lineRule="auto"/>
        <w:rPr>
          <w:sz w:val="20"/>
          <w:szCs w:val="20"/>
          <w:color w:val="auto"/>
        </w:rPr>
      </w:pPr>
      <w:r>
        <w:rPr>
          <w:rFonts w:ascii="Times New Roman" w:cs="Times New Roman" w:eastAsia="Times New Roman" w:hAnsi="Times New Roman"/>
          <w:sz w:val="20"/>
          <w:szCs w:val="20"/>
          <w:color w:val="auto"/>
        </w:rPr>
        <w:t>looking statements, including those regarding our future operating results and financial position, our business strategy and plans, products,</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services, and technology implementations, market conditions, growth and trends, expansion plans and opportunities, and our objectives for future operations. The words "anticipate," "believe," "envision," "estimate," "expect," "intend," "may," "plan," "predict," "project," "target,"</w:t>
      </w:r>
    </w:p>
    <w:p>
      <w:pPr>
        <w:ind w:right="440"/>
        <w:spacing w:after="0" w:line="228" w:lineRule="auto"/>
        <w:rPr>
          <w:sz w:val="20"/>
          <w:szCs w:val="20"/>
          <w:color w:val="auto"/>
        </w:rPr>
      </w:pPr>
      <w:r>
        <w:rPr>
          <w:rFonts w:ascii="Times New Roman" w:cs="Times New Roman" w:eastAsia="Times New Roman" w:hAnsi="Times New Roman"/>
          <w:sz w:val="20"/>
          <w:szCs w:val="20"/>
          <w:color w:val="auto"/>
        </w:rPr>
        <w:t>"potential," "will," "would," "could," "should," "continue," "ongoing," "contemplate," and similar expressions, and the negative of these expressions, are intended to identify forward-looking statements.</w:t>
      </w:r>
    </w:p>
    <w:p>
      <w:pPr>
        <w:spacing w:after="0" w:line="176"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0"/>
          <w:szCs w:val="20"/>
          <w:color w:val="auto"/>
        </w:rPr>
        <w:t>We have based these forward-looking statements largely on our current expectations about future events, which may not materialize. Actual results could differ materially and adversely from those anticipated or implied in our forward-looking statements. Some of the factors that could cause actual results to differ from our expectations include, among other risks, our ability to:</w:t>
      </w:r>
    </w:p>
    <w:p>
      <w:pPr>
        <w:spacing w:after="0" w:line="176" w:lineRule="exact"/>
        <w:rPr>
          <w:sz w:val="20"/>
          <w:szCs w:val="20"/>
          <w:color w:val="auto"/>
        </w:rPr>
      </w:pPr>
    </w:p>
    <w:p>
      <w:pPr>
        <w:ind w:left="660" w:right="60" w:hanging="328"/>
        <w:spacing w:after="0"/>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compete effectively within our industry and attract and retain our insurance policyholders and paid Hagerty Drivers Club subscribers (collectively, "Members");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key strategic relationships with our insurance distribution and underwriting carrier partners;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 monitor, and detect fraudulent activity;</w:t>
      </w:r>
    </w:p>
    <w:p>
      <w:pPr>
        <w:spacing w:after="0" w:line="107" w:lineRule="exact"/>
        <w:rPr>
          <w:rFonts w:ascii="Times New Roman" w:cs="Times New Roman" w:eastAsia="Times New Roman" w:hAnsi="Times New Roman"/>
          <w:sz w:val="20"/>
          <w:szCs w:val="20"/>
          <w:color w:val="auto"/>
        </w:rPr>
      </w:pPr>
    </w:p>
    <w:p>
      <w:pPr>
        <w:ind w:left="660" w:right="300" w:hanging="328"/>
        <w:spacing w:after="0" w:line="23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risks associated with disruptions, interruptions, outages, or other issues with our technology platforms or our use of third-party services;</w:t>
      </w:r>
    </w:p>
    <w:p>
      <w:pPr>
        <w:spacing w:after="0" w:line="93" w:lineRule="exact"/>
        <w:rPr>
          <w:rFonts w:ascii="Times New Roman" w:cs="Times New Roman" w:eastAsia="Times New Roman" w:hAnsi="Times New Roman"/>
          <w:sz w:val="20"/>
          <w:szCs w:val="20"/>
          <w:color w:val="auto"/>
        </w:rPr>
      </w:pPr>
    </w:p>
    <w:p>
      <w:pPr>
        <w:ind w:left="660" w:right="580" w:hanging="328"/>
        <w:spacing w:after="0" w:line="23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the adoption of our membership and marketplace products and services, as well as any new insurance programs and products we offer;</w:t>
      </w:r>
    </w:p>
    <w:p>
      <w:pPr>
        <w:spacing w:after="0" w:line="93" w:lineRule="exact"/>
        <w:rPr>
          <w:rFonts w:ascii="Times New Roman" w:cs="Times New Roman" w:eastAsia="Times New Roman" w:hAnsi="Times New Roman"/>
          <w:sz w:val="20"/>
          <w:szCs w:val="20"/>
          <w:color w:val="auto"/>
        </w:rPr>
      </w:pPr>
    </w:p>
    <w:p>
      <w:pPr>
        <w:ind w:left="660" w:hanging="328"/>
        <w:spacing w:after="0" w:line="222"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implement the fronting arrangement consummated with Markel Group Inc. (together with its subsidiaries, "Markel") and realize the anticipated benefits while also managing the increased exposure to underwriting volatility, catastrophes, reinsurance counterparty risk, and legal, compliance, and regulatory risks resulting from the shift to our wholly owned subsidiary, Hagerty Reinsurance Limited ("Hagerty Re"), assuming 100% of the risk for policies written through this arrangement;</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underwrite and price new products, including Enthusiast+, consistent with expected loss ratios and risk tolerances;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Broad Arrow Group, Inc.'s ("Broad Arrow") private sale, auction, and financing strategies;</w:t>
      </w:r>
    </w:p>
    <w:p>
      <w:pPr>
        <w:spacing w:after="0" w:line="134" w:lineRule="exact"/>
        <w:rPr>
          <w:rFonts w:ascii="Times New Roman" w:cs="Times New Roman" w:eastAsia="Times New Roman" w:hAnsi="Times New Roman"/>
          <w:sz w:val="20"/>
          <w:szCs w:val="20"/>
          <w:color w:val="auto"/>
        </w:rPr>
      </w:pPr>
    </w:p>
    <w:p>
      <w:pPr>
        <w:ind w:left="660" w:right="20" w:hanging="328"/>
        <w:spacing w:after="0" w:line="24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acquisitions or investments on the expected terms or timeline, or at all, and realize the anticipated benefits of such acquisitions and investments, including expected earnings enhancements and synergies, including those anticipated from the recently completed acquisition of Bennetts Motorcycling Services Limited;</w:t>
      </w:r>
    </w:p>
    <w:p>
      <w:pPr>
        <w:spacing w:after="0" w:line="180" w:lineRule="exact"/>
        <w:rPr>
          <w:rFonts w:ascii="Times New Roman" w:cs="Times New Roman" w:eastAsia="Times New Roman" w:hAnsi="Times New Roman"/>
          <w:sz w:val="20"/>
          <w:szCs w:val="20"/>
          <w:color w:val="auto"/>
        </w:rPr>
      </w:pPr>
    </w:p>
    <w:p>
      <w:pPr>
        <w:ind w:left="660" w:right="200" w:hanging="328"/>
        <w:spacing w:after="0"/>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cyclical nature of the insurance business and broader macroeconomic conditions, including inflation, interest rates, and potential recessionary pressures;</w:t>
      </w:r>
    </w:p>
    <w:p>
      <w:pPr>
        <w:spacing w:after="0" w:line="8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our investment objectives and avoid losses in our investment portfolio;</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unexpected increases in the frequency or severity of claims, including catastrophe losses; and</w:t>
      </w:r>
    </w:p>
    <w:p>
      <w:pPr>
        <w:spacing w:after="0" w:line="121" w:lineRule="exact"/>
        <w:rPr>
          <w:rFonts w:ascii="Times New Roman" w:cs="Times New Roman" w:eastAsia="Times New Roman" w:hAnsi="Times New Roman"/>
          <w:sz w:val="20"/>
          <w:szCs w:val="20"/>
          <w:color w:val="auto"/>
        </w:rPr>
      </w:pPr>
    </w:p>
    <w:p>
      <w:pPr>
        <w:ind w:left="660" w:right="300" w:hanging="328"/>
        <w:spacing w:after="0" w:line="22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numerous laws and regulations applicable to our business, including without limitation state, federal, and foreign laws relating to insurance and rate increases, privacy and cybersecurity, marketing and advertising, digital services, accounting matters, tax, anti-money laundering, and economic sanctions.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more information regarding the risks and uncertainties that could cause actual results to differ from our expectations, see Item 1A of Part</w:t>
      </w:r>
    </w:p>
    <w:p>
      <w:pPr>
        <w:spacing w:after="0" w:line="6" w:lineRule="exact"/>
        <w:rPr>
          <w:sz w:val="20"/>
          <w:szCs w:val="20"/>
          <w:color w:val="auto"/>
        </w:rPr>
      </w:pPr>
    </w:p>
    <w:p>
      <w:pPr>
        <w:ind w:right="400" w:firstLine="8"/>
        <w:spacing w:after="0" w:line="228" w:lineRule="auto"/>
        <w:tabs>
          <w:tab w:leader="none" w:pos="18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Risk Factors of this Quarterly Report and Item 1A of Part I — Risk Factors of our Annual Report on Form 10-K for the year ended December 31, 2025.</w:t>
      </w:r>
    </w:p>
    <w:p>
      <w:pPr>
        <w:spacing w:after="0" w:line="176" w:lineRule="exact"/>
        <w:rPr>
          <w:sz w:val="20"/>
          <w:szCs w:val="20"/>
          <w:color w:val="auto"/>
        </w:rPr>
      </w:pPr>
    </w:p>
    <w:p>
      <w:pPr>
        <w:ind w:right="460"/>
        <w:spacing w:after="0" w:line="234" w:lineRule="auto"/>
        <w:rPr>
          <w:sz w:val="20"/>
          <w:szCs w:val="20"/>
          <w:color w:val="auto"/>
        </w:rPr>
      </w:pPr>
      <w:r>
        <w:rPr>
          <w:rFonts w:ascii="Times New Roman" w:cs="Times New Roman" w:eastAsia="Times New Roman" w:hAnsi="Times New Roman"/>
          <w:sz w:val="19"/>
          <w:szCs w:val="19"/>
          <w:color w:val="auto"/>
        </w:rPr>
        <w:t>You should not rely on forward-looking statements as predictions of future events. These statements are based on management's current expectations and assumptions and are not guarantees of future performance. We operate in a very competitive and rapidly changing</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environment and new risks emerge from time to time. The forward-looking statements in this Quarterly Report represent our views as of the date hereof. We undertake no obligation to update any of these forward-looking statements for any reason after the date of this Quarterly</w:t>
      </w:r>
    </w:p>
    <w:p>
      <w:pPr>
        <w:spacing w:after="0"/>
        <w:rPr>
          <w:sz w:val="20"/>
          <w:szCs w:val="20"/>
          <w:color w:val="auto"/>
        </w:rPr>
      </w:pPr>
      <w:r>
        <w:rPr>
          <w:rFonts w:ascii="Times New Roman" w:cs="Times New Roman" w:eastAsia="Times New Roman" w:hAnsi="Times New Roman"/>
          <w:sz w:val="20"/>
          <w:szCs w:val="20"/>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7"/>
              </w:rPr>
              <w:t>Three months ended</w:t>
            </w:r>
          </w:p>
        </w:tc>
        <w:tc>
          <w:tcPr>
            <w:tcW w:w="300" w:type="dxa"/>
            <w:vAlign w:val="bottom"/>
          </w:tcPr>
          <w:p>
            <w:pPr>
              <w:spacing w:after="0"/>
              <w:rPr>
                <w:sz w:val="19"/>
                <w:szCs w:val="19"/>
                <w:color w:val="auto"/>
              </w:rPr>
            </w:pPr>
          </w:p>
        </w:tc>
        <w:tc>
          <w:tcPr>
            <w:tcW w:w="248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6"/>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rPr>
              <w:t>September 30,</w:t>
            </w:r>
          </w:p>
        </w:tc>
        <w:tc>
          <w:tcPr>
            <w:tcW w:w="300" w:type="dxa"/>
            <w:vAlign w:val="bottom"/>
          </w:tcPr>
          <w:p>
            <w:pPr>
              <w:spacing w:after="0"/>
              <w:rPr>
                <w:sz w:val="22"/>
                <w:szCs w:val="22"/>
                <w:color w:val="auto"/>
              </w:rPr>
            </w:pPr>
          </w:p>
        </w:tc>
        <w:tc>
          <w:tcPr>
            <w:tcW w:w="248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87"/>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tcPr>
          <w:p>
            <w:pPr>
              <w:spacing w:after="0"/>
              <w:rPr>
                <w:sz w:val="24"/>
                <w:szCs w:val="24"/>
                <w:color w:val="auto"/>
              </w:rPr>
            </w:pPr>
          </w:p>
        </w:tc>
        <w:tc>
          <w:tcPr>
            <w:tcW w:w="4300" w:type="dxa"/>
            <w:vAlign w:val="bottom"/>
            <w:gridSpan w:val="9"/>
          </w:tcPr>
          <w:p>
            <w:pPr>
              <w:jc w:val="right"/>
              <w:ind w:right="61"/>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265,113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187,039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756,711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534,179</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137,103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380,677</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Marketplace revenue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32,164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34,356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97,474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90,328</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Membership and other revenue</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65,396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63,102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12,720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10,152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33,986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28,626</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354,242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391,417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1,020,894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1,099,062</w:t>
            </w:r>
          </w:p>
        </w:tc>
        <w:tc>
          <w:tcPr>
            <w:tcW w:w="0" w:type="dxa"/>
            <w:vAlign w:val="bottom"/>
          </w:tcPr>
          <w:p>
            <w:pPr>
              <w:spacing w:after="0"/>
              <w:rPr>
                <w:sz w:val="1"/>
                <w:szCs w:val="1"/>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90,261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78,626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298,889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224,969</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62,214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87,411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247,777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247,682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66,716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189,251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4,079</w:t>
            </w:r>
          </w:p>
        </w:tc>
        <w:tc>
          <w:tcPr>
            <w:tcW w:w="0" w:type="dxa"/>
            <w:vAlign w:val="bottom"/>
          </w:tcPr>
          <w:p>
            <w:pPr>
              <w:spacing w:after="0"/>
              <w:rPr>
                <w:sz w:val="1"/>
                <w:szCs w:val="1"/>
                <w:color w:val="auto"/>
              </w:rPr>
            </w:pPr>
          </w:p>
        </w:tc>
      </w:tr>
      <w:tr>
        <w:trPr>
          <w:trHeight w:val="256"/>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92,766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178,140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260,447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483,812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32,403</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39,038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Total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312,843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378,080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998,200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999,580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INCOME BEFORE TAXES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41,399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13,337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22,694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99,482</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(5,130)</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32,834</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21,184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36,269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46,171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31,565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120,666</w:t>
            </w:r>
          </w:p>
        </w:tc>
        <w:tc>
          <w:tcPr>
            <w:tcW w:w="0" w:type="dxa"/>
            <w:vAlign w:val="bottom"/>
          </w:tcPr>
          <w:p>
            <w:pPr>
              <w:spacing w:after="0"/>
              <w:rPr>
                <w:sz w:val="1"/>
                <w:szCs w:val="1"/>
                <w:color w:val="auto"/>
              </w:rPr>
            </w:pPr>
          </w:p>
        </w:tc>
      </w:tr>
      <w:tr>
        <w:trPr>
          <w:trHeight w:val="256"/>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income attributable to non-controlling interest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(25,323)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(25,565)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(80,474)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Accretion of Series A Convertible Preferred Stock</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(1,903)</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(5,653)</w:t>
            </w:r>
          </w:p>
        </w:tc>
        <w:tc>
          <w:tcPr>
            <w:tcW w:w="0" w:type="dxa"/>
            <w:vAlign w:val="bottom"/>
          </w:tcPr>
          <w:p>
            <w:pPr>
              <w:spacing w:after="0"/>
              <w:rPr>
                <w:sz w:val="1"/>
                <w:szCs w:val="1"/>
                <w:color w:val="auto"/>
              </w:rPr>
            </w:pPr>
          </w:p>
        </w:tc>
      </w:tr>
      <w:tr>
        <w:trPr>
          <w:trHeight w:val="169"/>
        </w:trPr>
        <w:tc>
          <w:tcPr>
            <w:tcW w:w="5620" w:type="dxa"/>
            <w:vAlign w:val="bottom"/>
          </w:tcPr>
          <w:p>
            <w:pPr>
              <w:ind w:left="360"/>
              <w:spacing w:after="0" w:line="169" w:lineRule="exact"/>
              <w:rPr>
                <w:sz w:val="20"/>
                <w:szCs w:val="20"/>
                <w:color w:val="auto"/>
              </w:rPr>
            </w:pPr>
            <w:r>
              <w:rPr>
                <w:rFonts w:ascii="Times New Roman" w:cs="Times New Roman" w:eastAsia="Times New Roman" w:hAnsi="Times New Roman"/>
                <w:sz w:val="19"/>
                <w:szCs w:val="19"/>
                <w:color w:val="auto"/>
              </w:rPr>
              <w:t>NET INCOME ATTRIBUTABLE TO CLASS A COMMON</w:t>
            </w:r>
          </w:p>
        </w:tc>
        <w:tc>
          <w:tcPr>
            <w:tcW w:w="3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8,385</w:t>
            </w:r>
          </w:p>
        </w:tc>
        <w:tc>
          <w:tcPr>
            <w:tcW w:w="80" w:type="dxa"/>
            <w:vAlign w:val="bottom"/>
          </w:tcPr>
          <w:p>
            <w:pPr>
              <w:spacing w:after="0"/>
              <w:rPr>
                <w:sz w:val="14"/>
                <w:szCs w:val="14"/>
                <w:color w:val="auto"/>
              </w:rPr>
            </w:pPr>
          </w:p>
        </w:tc>
        <w:tc>
          <w:tcPr>
            <w:tcW w:w="3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18,945</w:t>
            </w:r>
          </w:p>
        </w:tc>
        <w:tc>
          <w:tcPr>
            <w:tcW w:w="80" w:type="dxa"/>
            <w:vAlign w:val="bottom"/>
          </w:tcPr>
          <w:p>
            <w:pPr>
              <w:spacing w:after="0"/>
              <w:rPr>
                <w:sz w:val="14"/>
                <w:szCs w:val="14"/>
                <w:color w:val="auto"/>
              </w:rPr>
            </w:pPr>
          </w:p>
        </w:tc>
        <w:tc>
          <w:tcPr>
            <w:tcW w:w="3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80" w:type="dxa"/>
            <w:vAlign w:val="bottom"/>
          </w:tcPr>
          <w:p>
            <w:pPr>
              <w:spacing w:after="0"/>
              <w:rPr>
                <w:sz w:val="14"/>
                <w:szCs w:val="14"/>
                <w:color w:val="auto"/>
              </w:rPr>
            </w:pPr>
          </w:p>
        </w:tc>
        <w:tc>
          <w:tcPr>
            <w:tcW w:w="34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34,539</w:t>
            </w: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STOCKHOLDERS</w:t>
            </w:r>
          </w:p>
        </w:tc>
        <w:tc>
          <w:tcPr>
            <w:tcW w:w="3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Earnings per share of Class A Common Stock:</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Basic</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Diluted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8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8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 average shares of Class A Common Stock outstanding:</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Basic</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106,097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96,167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102,995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92,326</w:t>
            </w:r>
          </w:p>
        </w:tc>
        <w:tc>
          <w:tcPr>
            <w:tcW w:w="0" w:type="dxa"/>
            <w:vAlign w:val="bottom"/>
          </w:tcPr>
          <w:p>
            <w:pPr>
              <w:spacing w:after="0"/>
              <w:rPr>
                <w:sz w:val="1"/>
                <w:szCs w:val="1"/>
                <w:color w:val="auto"/>
              </w:rPr>
            </w:pPr>
          </w:p>
        </w:tc>
      </w:tr>
      <w:tr>
        <w:trPr>
          <w:trHeight w:val="258"/>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Diluted</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347,240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102,995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346,672</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(Loss)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460" w:type="dxa"/>
            <w:vAlign w:val="bottom"/>
          </w:tcPr>
          <w:p>
            <w:pPr>
              <w:spacing w:after="0"/>
              <w:rPr>
                <w:sz w:val="19"/>
                <w:szCs w:val="19"/>
                <w:color w:val="auto"/>
              </w:rPr>
            </w:pPr>
          </w:p>
        </w:tc>
        <w:tc>
          <w:tcPr>
            <w:tcW w:w="230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auto"/>
                <w:w w:val="98"/>
              </w:rPr>
              <w:t>September 30,</w:t>
            </w:r>
          </w:p>
        </w:tc>
        <w:tc>
          <w:tcPr>
            <w:tcW w:w="460" w:type="dxa"/>
            <w:vAlign w:val="bottom"/>
          </w:tcPr>
          <w:p>
            <w:pPr>
              <w:spacing w:after="0"/>
              <w:rPr>
                <w:sz w:val="21"/>
                <w:szCs w:val="21"/>
                <w:color w:val="auto"/>
              </w:rPr>
            </w:pPr>
          </w:p>
        </w:tc>
        <w:tc>
          <w:tcPr>
            <w:tcW w:w="230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56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87"/>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36,269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46,171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31,565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120,666</w:t>
            </w:r>
          </w:p>
        </w:tc>
        <w:tc>
          <w:tcPr>
            <w:tcW w:w="0" w:type="dxa"/>
            <w:vAlign w:val="bottom"/>
          </w:tcPr>
          <w:p>
            <w:pPr>
              <w:spacing w:after="0"/>
              <w:rPr>
                <w:sz w:val="1"/>
                <w:szCs w:val="1"/>
                <w:color w:val="auto"/>
              </w:rPr>
            </w:pPr>
          </w:p>
        </w:tc>
      </w:tr>
      <w:tr>
        <w:trPr>
          <w:trHeight w:val="256"/>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Unrealized gain (loss) on available-for-sale securities, net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(14,365)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(21,769)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6,978</w:t>
            </w: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2,427</w:t>
            </w: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(14,491)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2,613</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(22,338)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9,405</w:t>
            </w:r>
          </w:p>
        </w:tc>
        <w:tc>
          <w:tcPr>
            <w:tcW w:w="0" w:type="dxa"/>
            <w:vAlign w:val="bottom"/>
          </w:tcPr>
          <w:p>
            <w:pPr>
              <w:spacing w:after="0"/>
              <w:rPr>
                <w:sz w:val="1"/>
                <w:szCs w:val="1"/>
                <w:color w:val="auto"/>
              </w:rPr>
            </w:pPr>
          </w:p>
        </w:tc>
      </w:tr>
      <w:tr>
        <w:trPr>
          <w:trHeight w:val="250"/>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Comprehensive income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48,784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130,071</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(15,997)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(27,200)</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(9,954)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(87,367)</w:t>
            </w: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Accretion of Series A Convertible Preferred Stock</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(1,826)</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(1,903)</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(5,804)</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(5,653)</w:t>
            </w: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20"/>
                <w:szCs w:val="20"/>
                <w:color w:val="auto"/>
              </w:rPr>
              <w:t>Comprehensive income (loss) attributable to Class A Common</w:t>
            </w:r>
          </w:p>
        </w:tc>
        <w:tc>
          <w:tcPr>
            <w:tcW w:w="3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3,955</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19,681</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(6,531)</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37,051</w:t>
            </w:r>
          </w:p>
        </w:tc>
        <w:tc>
          <w:tcPr>
            <w:tcW w:w="0" w:type="dxa"/>
            <w:vAlign w:val="bottom"/>
          </w:tcPr>
          <w:p>
            <w:pPr>
              <w:spacing w:after="0"/>
              <w:rPr>
                <w:sz w:val="1"/>
                <w:szCs w:val="1"/>
                <w:color w:val="auto"/>
              </w:rPr>
            </w:pPr>
          </w:p>
        </w:tc>
      </w:tr>
      <w:tr>
        <w:trPr>
          <w:trHeight w:val="245"/>
        </w:trPr>
        <w:tc>
          <w:tcPr>
            <w:tcW w:w="5640" w:type="dxa"/>
            <w:vAlign w:val="bottom"/>
            <w:tcBorders>
              <w:bottom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20"/>
                <w:szCs w:val="20"/>
                <w:color w:val="auto"/>
              </w:rPr>
              <w:t>Stockholders</w:t>
            </w: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September 30,</w:t>
            </w:r>
          </w:p>
        </w:tc>
        <w:tc>
          <w:tcPr>
            <w:tcW w:w="240" w:type="dxa"/>
            <w:vAlign w:val="bottom"/>
          </w:tcPr>
          <w:p>
            <w:pPr>
              <w:spacing w:after="0"/>
              <w:rPr>
                <w:sz w:val="19"/>
                <w:szCs w:val="19"/>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40"/>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6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Pr>
          <w:p>
            <w:pPr>
              <w:spacing w:after="0"/>
              <w:rPr>
                <w:sz w:val="22"/>
                <w:szCs w:val="22"/>
                <w:color w:val="auto"/>
              </w:rPr>
            </w:pPr>
          </w:p>
        </w:tc>
        <w:tc>
          <w:tcPr>
            <w:tcW w:w="3260" w:type="dxa"/>
            <w:vAlign w:val="bottom"/>
            <w:gridSpan w:val="4"/>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in thousands (except share amounts)</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Fixed maturity securities available-for-sale, at fair value (amortized cost: $639,905 and $687,813 as of</w:t>
            </w:r>
          </w:p>
        </w:tc>
        <w:tc>
          <w:tcPr>
            <w:tcW w:w="2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620,823</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696,271</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2026 and December 31, 2025, respectively)</w:t>
            </w:r>
          </w:p>
        </w:tc>
        <w:tc>
          <w:tcPr>
            <w:tcW w:w="22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34,871</w:t>
            </w:r>
          </w:p>
        </w:tc>
        <w:tc>
          <w:tcPr>
            <w:tcW w:w="0" w:type="dxa"/>
            <w:vAlign w:val="bottom"/>
          </w:tcPr>
          <w:p>
            <w:pPr>
              <w:spacing w:after="0"/>
              <w:rPr>
                <w:sz w:val="1"/>
                <w:szCs w:val="1"/>
                <w:color w:val="auto"/>
              </w:rPr>
            </w:pPr>
          </w:p>
        </w:tc>
      </w:tr>
      <w:tr>
        <w:trPr>
          <w:trHeight w:val="228"/>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investments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731,142</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460,796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160,177</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132,767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138,823</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98,872</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receivable</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125,223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180,529</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acquisition costs,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179,224</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Reinsurance recoverables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reinsurance premiums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21,950</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receivable</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113,887</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88,915</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114,134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114,164</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43,011</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223,556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207,986</w:t>
            </w:r>
          </w:p>
        </w:tc>
        <w:tc>
          <w:tcPr>
            <w:tcW w:w="0" w:type="dxa"/>
            <w:vAlign w:val="bottom"/>
          </w:tcPr>
          <w:p>
            <w:pPr>
              <w:spacing w:after="0"/>
              <w:rPr>
                <w:sz w:val="1"/>
                <w:szCs w:val="1"/>
                <w:color w:val="auto"/>
              </w:rPr>
            </w:pPr>
          </w:p>
        </w:tc>
      </w:tr>
      <w:tr>
        <w:trPr>
          <w:trHeight w:val="228"/>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2,279,434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2,093,976</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TEMPORARY EQUITY AND STOCKHOLDERS'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122,101</w:t>
            </w:r>
          </w:p>
        </w:tc>
        <w:tc>
          <w:tcPr>
            <w:tcW w:w="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111,947</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premiums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28,287</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to insurers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94,930</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payable and reserves for unpaid losses and loss adjustment expenses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232,132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264,204</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Unearned premiums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412,058</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Ceding commissions payable</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86,165</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177,907</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46,450</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23,489</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62,858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39,829</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101,491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61,684</w:t>
            </w:r>
          </w:p>
        </w:tc>
        <w:tc>
          <w:tcPr>
            <w:tcW w:w="0" w:type="dxa"/>
            <w:vAlign w:val="bottom"/>
          </w:tcPr>
          <w:p>
            <w:pPr>
              <w:spacing w:after="0"/>
              <w:rPr>
                <w:sz w:val="1"/>
                <w:szCs w:val="1"/>
                <w:color w:val="auto"/>
              </w:rPr>
            </w:pPr>
          </w:p>
        </w:tc>
      </w:tr>
      <w:tr>
        <w:trPr>
          <w:trHeight w:val="22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1,527,215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1,346,950</w:t>
            </w:r>
          </w:p>
        </w:tc>
        <w:tc>
          <w:tcPr>
            <w:tcW w:w="0" w:type="dxa"/>
            <w:vAlign w:val="bottom"/>
          </w:tcPr>
          <w:p>
            <w:pPr>
              <w:spacing w:after="0"/>
              <w:rPr>
                <w:sz w:val="1"/>
                <w:szCs w:val="1"/>
                <w:color w:val="auto"/>
              </w:rPr>
            </w:pPr>
          </w:p>
        </w:tc>
      </w:tr>
      <w:tr>
        <w:trPr>
          <w:trHeight w:val="218"/>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21)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TEMPORARY EQUITY</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Preferred stock, $0.0001 par value (20,000,000 shares authorized, 8,483,561 Series A Convertible Preferred</w:t>
            </w:r>
          </w:p>
        </w:tc>
        <w:tc>
          <w:tcPr>
            <w:tcW w:w="2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86,822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86,618</w:t>
            </w:r>
          </w:p>
        </w:tc>
        <w:tc>
          <w:tcPr>
            <w:tcW w:w="0" w:type="dxa"/>
            <w:vAlign w:val="bottom"/>
          </w:tcPr>
          <w:p>
            <w:pPr>
              <w:spacing w:after="0"/>
              <w:rPr>
                <w:sz w:val="1"/>
                <w:szCs w:val="1"/>
                <w:color w:val="auto"/>
              </w:rPr>
            </w:pPr>
          </w:p>
        </w:tc>
      </w:tr>
      <w:tr>
        <w:trPr>
          <w:trHeight w:val="22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issued and outstanding as of September 30, 2026 and December 31, 2025)</w:t>
            </w:r>
          </w:p>
        </w:tc>
        <w:tc>
          <w:tcPr>
            <w:tcW w:w="2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760" w:type="dxa"/>
            <w:vAlign w:val="bottom"/>
          </w:tcPr>
          <w:p>
            <w:pPr>
              <w:ind w:left="140"/>
              <w:spacing w:after="0" w:line="169" w:lineRule="exact"/>
              <w:rPr>
                <w:sz w:val="20"/>
                <w:szCs w:val="20"/>
                <w:color w:val="auto"/>
              </w:rPr>
            </w:pPr>
            <w:r>
              <w:rPr>
                <w:rFonts w:ascii="Times New Roman" w:cs="Times New Roman" w:eastAsia="Times New Roman" w:hAnsi="Times New Roman"/>
                <w:sz w:val="17"/>
                <w:szCs w:val="17"/>
                <w:color w:val="auto"/>
              </w:rPr>
              <w:t>Class A Common Stock, $0.0001 par value (500,000,000 shares authorized, 120,569,434 and 100,706,893</w:t>
            </w:r>
          </w:p>
        </w:tc>
        <w:tc>
          <w:tcPr>
            <w:tcW w:w="2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1"/>
        </w:trPr>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issued and outstanding as of September 30, 2026 and December 31, 2025, respectively)</w:t>
            </w:r>
          </w:p>
        </w:tc>
        <w:tc>
          <w:tcPr>
            <w:tcW w:w="2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7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Class V Common Stock, $0.0001 par value (300,000,000 shares authorized, 223,078,245 and 241,552,156</w:t>
            </w:r>
          </w:p>
        </w:tc>
        <w:tc>
          <w:tcPr>
            <w:tcW w:w="2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 issued and outstanding as of September 30, 2026 and December 31, 2025, respectively)</w:t>
            </w: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659,683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623,013</w:t>
            </w:r>
          </w:p>
        </w:tc>
        <w:tc>
          <w:tcPr>
            <w:tcW w:w="0" w:type="dxa"/>
            <w:vAlign w:val="bottom"/>
          </w:tcPr>
          <w:p>
            <w:pPr>
              <w:spacing w:after="0"/>
              <w:rPr>
                <w:sz w:val="1"/>
                <w:szCs w:val="1"/>
                <w:color w:val="auto"/>
              </w:rPr>
            </w:pPr>
          </w:p>
        </w:tc>
      </w:tr>
      <w:tr>
        <w:trPr>
          <w:trHeight w:val="235"/>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earnings (deficit)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(402,960)</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0" w:type="dxa"/>
            <w:vAlign w:val="bottom"/>
          </w:tcPr>
          <w:p>
            <w:pPr>
              <w:spacing w:after="0"/>
              <w:rPr>
                <w:sz w:val="1"/>
                <w:szCs w:val="1"/>
                <w:color w:val="auto"/>
              </w:rPr>
            </w:pPr>
          </w:p>
        </w:tc>
      </w:tr>
      <w:tr>
        <w:trPr>
          <w:trHeight w:val="228"/>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257,259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221,316</w:t>
            </w:r>
          </w:p>
        </w:tc>
        <w:tc>
          <w:tcPr>
            <w:tcW w:w="0" w:type="dxa"/>
            <w:vAlign w:val="bottom"/>
          </w:tcPr>
          <w:p>
            <w:pPr>
              <w:spacing w:after="0"/>
              <w:rPr>
                <w:sz w:val="1"/>
                <w:szCs w:val="1"/>
                <w:color w:val="auto"/>
              </w:rPr>
            </w:pPr>
          </w:p>
        </w:tc>
      </w:tr>
      <w:tr>
        <w:trPr>
          <w:trHeight w:val="218"/>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408,138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439,092</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equity (Note 16)</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665,397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660,408</w:t>
            </w:r>
          </w:p>
        </w:tc>
        <w:tc>
          <w:tcPr>
            <w:tcW w:w="0" w:type="dxa"/>
            <w:vAlign w:val="bottom"/>
          </w:tcPr>
          <w:p>
            <w:pPr>
              <w:spacing w:after="0"/>
              <w:rPr>
                <w:sz w:val="1"/>
                <w:szCs w:val="1"/>
                <w:color w:val="auto"/>
              </w:rPr>
            </w:pPr>
          </w:p>
        </w:tc>
      </w:tr>
      <w:tr>
        <w:trPr>
          <w:trHeight w:val="228"/>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TEMPORARY EQUITY AND STOCKHOLDERS' EQUITY</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2,279,434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2,093,976</w:t>
            </w: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ectPr>
          <w:pgSz w:w="11900" w:h="16838" w:orient="portrait"/>
          <w:cols w:equalWidth="0" w:num="1">
            <w:col w:w="11240"/>
          </w:cols>
          <w:pgMar w:left="320" w:top="118"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3051F2"/>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Temporary Equity and Stockholders' Equity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150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Series A Convertible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60"/>
              <w:spacing w:after="0" w:line="15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Class A Common Stock</w:t>
            </w:r>
          </w:p>
        </w:tc>
        <w:tc>
          <w:tcPr>
            <w:tcW w:w="80" w:type="dxa"/>
            <w:vAlign w:val="bottom"/>
            <w:vMerge w:val="restart"/>
          </w:tcPr>
          <w:p>
            <w:pPr>
              <w:spacing w:after="0"/>
              <w:rPr>
                <w:sz w:val="5"/>
                <w:szCs w:val="5"/>
                <w:color w:val="auto"/>
              </w:rPr>
            </w:pPr>
          </w:p>
        </w:tc>
        <w:tc>
          <w:tcPr>
            <w:tcW w:w="14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Class V Common Stock</w:t>
            </w:r>
          </w:p>
        </w:tc>
        <w:tc>
          <w:tcPr>
            <w:tcW w:w="80" w:type="dxa"/>
            <w:vAlign w:val="bottom"/>
            <w:vMerge w:val="restart"/>
          </w:tcPr>
          <w:p>
            <w:pPr>
              <w:spacing w:after="0"/>
              <w:rPr>
                <w:sz w:val="5"/>
                <w:szCs w:val="5"/>
                <w:color w:val="auto"/>
              </w:rPr>
            </w:pPr>
          </w:p>
        </w:tc>
        <w:tc>
          <w:tcPr>
            <w:tcW w:w="8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90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5"/>
                <w:szCs w:val="5"/>
                <w:color w:val="auto"/>
              </w:rPr>
            </w:pPr>
          </w:p>
        </w:tc>
        <w:tc>
          <w:tcPr>
            <w:tcW w:w="9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5"/>
                <w:szCs w:val="5"/>
                <w:color w:val="auto"/>
              </w:rPr>
            </w:pPr>
          </w:p>
        </w:tc>
        <w:tc>
          <w:tcPr>
            <w:tcW w:w="7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5"/>
                <w:szCs w:val="5"/>
                <w:color w:val="auto"/>
              </w:rPr>
            </w:pPr>
          </w:p>
        </w:tc>
        <w:tc>
          <w:tcPr>
            <w:tcW w:w="70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Preferred Stock</w:t>
            </w:r>
          </w:p>
        </w:tc>
        <w:tc>
          <w:tcPr>
            <w:tcW w:w="80" w:type="dxa"/>
            <w:vAlign w:val="bottom"/>
            <w:vMerge w:val="restart"/>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460" w:type="dxa"/>
            <w:vAlign w:val="bottom"/>
          </w:tcPr>
          <w:p>
            <w:pPr>
              <w:spacing w:after="0"/>
              <w:rPr>
                <w:sz w:val="9"/>
                <w:szCs w:val="9"/>
                <w:color w:val="auto"/>
              </w:rPr>
            </w:pPr>
          </w:p>
        </w:tc>
        <w:tc>
          <w:tcPr>
            <w:tcW w:w="14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color w:val="auto"/>
              </w:rPr>
              <w:t>Paid in</w:t>
            </w:r>
          </w:p>
        </w:tc>
        <w:tc>
          <w:tcPr>
            <w:tcW w:w="120" w:type="dxa"/>
            <w:vAlign w:val="bottom"/>
          </w:tcPr>
          <w:p>
            <w:pPr>
              <w:spacing w:after="0"/>
              <w:rPr>
                <w:sz w:val="9"/>
                <w:szCs w:val="9"/>
                <w:color w:val="auto"/>
              </w:rPr>
            </w:pPr>
          </w:p>
        </w:tc>
        <w:tc>
          <w:tcPr>
            <w:tcW w:w="780" w:type="dxa"/>
            <w:vAlign w:val="bottom"/>
            <w:gridSpan w:val="3"/>
          </w:tcPr>
          <w:p>
            <w:pPr>
              <w:ind w:left="20"/>
              <w:spacing w:after="0" w:line="111" w:lineRule="exact"/>
              <w:rPr>
                <w:sz w:val="20"/>
                <w:szCs w:val="20"/>
                <w:color w:val="auto"/>
              </w:rPr>
            </w:pPr>
            <w:r>
              <w:rPr>
                <w:rFonts w:ascii="Times New Roman" w:cs="Times New Roman" w:eastAsia="Times New Roman" w:hAnsi="Times New Roman"/>
                <w:sz w:val="12"/>
                <w:szCs w:val="12"/>
                <w:color w:val="auto"/>
              </w:rPr>
              <w:t>Earnings</w:t>
            </w:r>
          </w:p>
        </w:tc>
        <w:tc>
          <w:tcPr>
            <w:tcW w:w="1000" w:type="dxa"/>
            <w:vAlign w:val="bottom"/>
            <w:gridSpan w:val="3"/>
          </w:tcPr>
          <w:p>
            <w:pPr>
              <w:jc w:val="right"/>
              <w:ind w:right="100"/>
              <w:spacing w:after="0" w:line="111" w:lineRule="exact"/>
              <w:rPr>
                <w:sz w:val="20"/>
                <w:szCs w:val="20"/>
                <w:color w:val="auto"/>
              </w:rPr>
            </w:pPr>
            <w:r>
              <w:rPr>
                <w:rFonts w:ascii="Times New Roman" w:cs="Times New Roman" w:eastAsia="Times New Roman" w:hAnsi="Times New Roman"/>
                <w:sz w:val="12"/>
                <w:szCs w:val="12"/>
                <w:color w:val="auto"/>
              </w:rPr>
              <w:t>Comprehensive</w:t>
            </w:r>
          </w:p>
        </w:tc>
        <w:tc>
          <w:tcPr>
            <w:tcW w:w="920" w:type="dxa"/>
            <w:vAlign w:val="bottom"/>
            <w:gridSpan w:val="3"/>
          </w:tcPr>
          <w:p>
            <w:pPr>
              <w:ind w:left="40"/>
              <w:spacing w:after="0" w:line="111" w:lineRule="exact"/>
              <w:rPr>
                <w:sz w:val="20"/>
                <w:szCs w:val="20"/>
                <w:color w:val="auto"/>
              </w:rPr>
            </w:pPr>
            <w:r>
              <w:rPr>
                <w:rFonts w:ascii="Times New Roman" w:cs="Times New Roman" w:eastAsia="Times New Roman" w:hAnsi="Times New Roman"/>
                <w:sz w:val="12"/>
                <w:szCs w:val="12"/>
                <w:color w:val="auto"/>
              </w:rPr>
              <w:t>Stockholders'</w:t>
            </w:r>
          </w:p>
        </w:tc>
        <w:tc>
          <w:tcPr>
            <w:tcW w:w="84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2"/>
                <w:szCs w:val="12"/>
                <w:color w:val="auto"/>
              </w:rPr>
              <w:t>controlling</w:t>
            </w:r>
          </w:p>
        </w:tc>
        <w:tc>
          <w:tcPr>
            <w:tcW w:w="120" w:type="dxa"/>
            <w:vAlign w:val="bottom"/>
          </w:tcPr>
          <w:p>
            <w:pPr>
              <w:spacing w:after="0"/>
              <w:rPr>
                <w:sz w:val="9"/>
                <w:szCs w:val="9"/>
                <w:color w:val="auto"/>
              </w:rPr>
            </w:pPr>
          </w:p>
        </w:tc>
        <w:tc>
          <w:tcPr>
            <w:tcW w:w="600" w:type="dxa"/>
            <w:vAlign w:val="bottom"/>
          </w:tcPr>
          <w:p>
            <w:pPr>
              <w:jc w:val="right"/>
              <w:ind w:right="149"/>
              <w:spacing w:after="0" w:line="111"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tcPr>
          <w:p>
            <w:pPr>
              <w:spacing w:after="0"/>
              <w:rPr>
                <w:sz w:val="18"/>
                <w:szCs w:val="18"/>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1, 2026</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84,996</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101,805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241,552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623,664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(407,171)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215,459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434,351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649,810</w:t>
            </w:r>
          </w:p>
        </w:tc>
        <w:tc>
          <w:tcPr>
            <w:tcW w:w="0" w:type="dxa"/>
            <w:vAlign w:val="bottom"/>
          </w:tcPr>
          <w:p>
            <w:pPr>
              <w:spacing w:after="0"/>
              <w:rPr>
                <w:sz w:val="1"/>
                <w:szCs w:val="1"/>
                <w:color w:val="auto"/>
              </w:rPr>
            </w:pPr>
          </w:p>
        </w:tc>
      </w:tr>
      <w:tr>
        <w:trPr>
          <w:trHeight w:val="195"/>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36,269</w:t>
            </w:r>
          </w:p>
        </w:tc>
        <w:tc>
          <w:tcPr>
            <w:tcW w:w="0" w:type="dxa"/>
            <w:vAlign w:val="bottom"/>
          </w:tcPr>
          <w:p>
            <w:pPr>
              <w:spacing w:after="0"/>
              <w:rPr>
                <w:sz w:val="1"/>
                <w:szCs w:val="1"/>
                <w:color w:val="auto"/>
              </w:rPr>
            </w:pPr>
          </w:p>
        </w:tc>
      </w:tr>
      <w:tr>
        <w:trPr>
          <w:trHeight w:val="146"/>
        </w:trPr>
        <w:tc>
          <w:tcPr>
            <w:tcW w:w="14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Accretion of Series 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(10,061)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(14,491)</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Issuance of shares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employee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plans, net of shares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withheld for</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taxes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Share-based</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5,216</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units for Class A</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34,483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(34,483)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Deferred tax assets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recorded upon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for shares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A Common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26,881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26,881</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Tax receivable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agreement liabilities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recorded upon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units for shares of</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Class A Common</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(10,295)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(10,295)</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unit holders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Reallocation between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controlling and non-</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controlling interest</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4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86,822</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120,569</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223,078</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659,683</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(396,960)</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257,259</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408,138</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665,397</w:t>
            </w: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3051F2"/>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Temporary Equity and Stockholders' Equity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4"/>
        </w:trPr>
        <w:tc>
          <w:tcPr>
            <w:tcW w:w="1440" w:type="dxa"/>
            <w:vAlign w:val="bottom"/>
          </w:tcPr>
          <w:p>
            <w:pPr>
              <w:spacing w:after="0"/>
              <w:rPr>
                <w:sz w:val="24"/>
                <w:szCs w:val="24"/>
                <w:color w:val="auto"/>
              </w:rPr>
            </w:pPr>
          </w:p>
        </w:tc>
        <w:tc>
          <w:tcPr>
            <w:tcW w:w="15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Series A Convertible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1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Class V Common Stock</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4"/>
                <w:szCs w:val="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4"/>
                <w:szCs w:val="4"/>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4"/>
                <w:szCs w:val="4"/>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Non-</w:t>
            </w: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1520" w:type="dxa"/>
            <w:vAlign w:val="bottom"/>
            <w:gridSpan w:val="5"/>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Preferred Stock</w:t>
            </w:r>
          </w:p>
        </w:tc>
        <w:tc>
          <w:tcPr>
            <w:tcW w:w="1520" w:type="dxa"/>
            <w:vAlign w:val="bottom"/>
            <w:gridSpan w:val="5"/>
            <w:vMerge w:val="continue"/>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color w:val="auto"/>
              </w:rPr>
              <w:t>Paid in</w:t>
            </w:r>
          </w:p>
        </w:tc>
        <w:tc>
          <w:tcPr>
            <w:tcW w:w="120" w:type="dxa"/>
            <w:vAlign w:val="bottom"/>
          </w:tcPr>
          <w:p>
            <w:pPr>
              <w:spacing w:after="0"/>
              <w:rPr>
                <w:sz w:val="4"/>
                <w:szCs w:val="4"/>
                <w:color w:val="auto"/>
              </w:rPr>
            </w:pPr>
          </w:p>
        </w:tc>
        <w:tc>
          <w:tcPr>
            <w:tcW w:w="76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color w:val="auto"/>
              </w:rPr>
              <w:t>Earnings</w:t>
            </w:r>
          </w:p>
        </w:tc>
        <w:tc>
          <w:tcPr>
            <w:tcW w:w="102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920" w:type="dxa"/>
            <w:vAlign w:val="bottom"/>
            <w:gridSpan w:val="3"/>
            <w:vMerge w:val="restart"/>
          </w:tcPr>
          <w:p>
            <w:pPr>
              <w:ind w:left="40"/>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840" w:type="dxa"/>
            <w:vAlign w:val="bottom"/>
            <w:gridSpan w:val="3"/>
            <w:vMerge w:val="restart"/>
          </w:tcPr>
          <w:p>
            <w:pPr>
              <w:ind w:left="60"/>
              <w:spacing w:after="0" w:line="95" w:lineRule="exact"/>
              <w:rPr>
                <w:sz w:val="20"/>
                <w:szCs w:val="20"/>
                <w:color w:val="auto"/>
              </w:rPr>
            </w:pPr>
            <w:r>
              <w:rPr>
                <w:rFonts w:ascii="Times New Roman" w:cs="Times New Roman" w:eastAsia="Times New Roman" w:hAnsi="Times New Roman"/>
                <w:sz w:val="10"/>
                <w:szCs w:val="10"/>
                <w:color w:val="auto"/>
              </w:rPr>
              <w:t>controlling</w:t>
            </w:r>
          </w:p>
        </w:tc>
        <w:tc>
          <w:tcPr>
            <w:tcW w:w="120" w:type="dxa"/>
            <w:vAlign w:val="bottom"/>
          </w:tcPr>
          <w:p>
            <w:pPr>
              <w:spacing w:after="0"/>
              <w:rPr>
                <w:sz w:val="4"/>
                <w:szCs w:val="4"/>
                <w:color w:val="auto"/>
              </w:rPr>
            </w:pPr>
          </w:p>
        </w:tc>
        <w:tc>
          <w:tcPr>
            <w:tcW w:w="600" w:type="dxa"/>
            <w:vAlign w:val="bottom"/>
            <w:vMerge w:val="restart"/>
          </w:tcPr>
          <w:p>
            <w:pPr>
              <w:jc w:val="right"/>
              <w:ind w:right="149"/>
              <w:spacing w:after="0" w:line="95" w:lineRule="exact"/>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line="20" w:lineRule="exact"/>
              <w:rPr>
                <w:sz w:val="1"/>
                <w:szCs w:val="1"/>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4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(Deficit)</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tcPr>
          <w:p>
            <w:pPr>
              <w:spacing w:after="0"/>
              <w:rPr>
                <w:sz w:val="17"/>
                <w:szCs w:val="17"/>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24"/>
        </w:trPr>
        <w:tc>
          <w:tcPr>
            <w:tcW w:w="14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 January 1,</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86,618</w:t>
            </w: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100,707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241,552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623,013</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(402,960)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221,316</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439,092</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660,408</w:t>
            </w: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31,565</w:t>
            </w:r>
          </w:p>
        </w:tc>
        <w:tc>
          <w:tcPr>
            <w:tcW w:w="0" w:type="dxa"/>
            <w:vAlign w:val="bottom"/>
          </w:tcPr>
          <w:p>
            <w:pPr>
              <w:spacing w:after="0"/>
              <w:rPr>
                <w:sz w:val="1"/>
                <w:szCs w:val="1"/>
                <w:color w:val="auto"/>
              </w:rPr>
            </w:pPr>
          </w:p>
        </w:tc>
      </w:tr>
      <w:tr>
        <w:trPr>
          <w:trHeight w:val="146"/>
        </w:trPr>
        <w:tc>
          <w:tcPr>
            <w:tcW w:w="14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Accretion of Series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Dividends related to</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Series A Convertible</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Other comprehensive</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(15,611)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(22,338)</w:t>
            </w: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under employee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plans, net of 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withheld for</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193"/>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taxes</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Share-based</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14,926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14,926</w:t>
            </w: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Exchange of THG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units for Class A</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35,280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(35,280)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Deferred tax assets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recorded upon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exchange of THG</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units for shares of</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Common</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26,881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26,881</w:t>
            </w: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Tax receivable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agreement liabilities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recorded upon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exchange of THG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units for shares of</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Class A Common</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0" w:type="dxa"/>
            <w:vAlign w:val="bottom"/>
          </w:tcPr>
          <w:p>
            <w:pPr>
              <w:spacing w:after="0"/>
              <w:rPr>
                <w:sz w:val="1"/>
                <w:szCs w:val="1"/>
                <w:color w:val="auto"/>
              </w:rPr>
            </w:pPr>
          </w:p>
        </w:tc>
      </w:tr>
      <w:tr>
        <w:trPr>
          <w:trHeight w:val="195"/>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Distributions paid to</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(11,132)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w:t>
            </w:r>
          </w:p>
        </w:tc>
        <w:tc>
          <w:tcPr>
            <w:tcW w:w="0" w:type="dxa"/>
            <w:vAlign w:val="bottom"/>
          </w:tcPr>
          <w:p>
            <w:pPr>
              <w:spacing w:after="0"/>
              <w:rPr>
                <w:sz w:val="1"/>
                <w:szCs w:val="1"/>
                <w:color w:val="auto"/>
              </w:rPr>
            </w:pPr>
          </w:p>
        </w:tc>
      </w:tr>
      <w:tr>
        <w:trPr>
          <w:trHeight w:val="198"/>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unit holders</w:t>
            </w: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Reallocation between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controlling and non-</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controlling interest</w:t>
            </w: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4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86,822</w:t>
            </w: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223,078</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659,683</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(396,960)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257,259</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408,138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665,397</w:t>
            </w:r>
          </w:p>
        </w:tc>
        <w:tc>
          <w:tcPr>
            <w:tcW w:w="0" w:type="dxa"/>
            <w:vAlign w:val="bottom"/>
          </w:tcPr>
          <w:p>
            <w:pPr>
              <w:spacing w:after="0"/>
              <w:rPr>
                <w:sz w:val="1"/>
                <w:szCs w:val="1"/>
                <w:color w:val="auto"/>
              </w:rPr>
            </w:pPr>
          </w:p>
        </w:tc>
      </w:tr>
      <w:tr>
        <w:trPr>
          <w:trHeight w:val="191"/>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3051F2"/>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Temporary Equity and Stockholders' Equity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Pr>
          <w:p>
            <w:pPr>
              <w:spacing w:after="0"/>
              <w:rPr>
                <w:sz w:val="14"/>
                <w:szCs w:val="14"/>
                <w:color w:val="auto"/>
              </w:rPr>
            </w:pPr>
          </w:p>
        </w:tc>
        <w:tc>
          <w:tcPr>
            <w:tcW w:w="150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Series A Convertible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Class A Common Stock</w:t>
            </w:r>
          </w:p>
        </w:tc>
        <w:tc>
          <w:tcPr>
            <w:tcW w:w="15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Class V Common Stock</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4"/>
                <w:szCs w:val="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4"/>
                <w:szCs w:val="4"/>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4"/>
                <w:szCs w:val="4"/>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7"/>
              </w:rPr>
              <w:t>Non-</w:t>
            </w: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150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Preferred Stock</w:t>
            </w:r>
          </w:p>
        </w:tc>
        <w:tc>
          <w:tcPr>
            <w:tcW w:w="1540" w:type="dxa"/>
            <w:vAlign w:val="bottom"/>
            <w:gridSpan w:val="5"/>
            <w:vMerge w:val="continue"/>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color w:val="auto"/>
              </w:rPr>
              <w:t>Paid in</w:t>
            </w:r>
          </w:p>
        </w:tc>
        <w:tc>
          <w:tcPr>
            <w:tcW w:w="120" w:type="dxa"/>
            <w:vAlign w:val="bottom"/>
          </w:tcPr>
          <w:p>
            <w:pPr>
              <w:spacing w:after="0"/>
              <w:rPr>
                <w:sz w:val="4"/>
                <w:szCs w:val="4"/>
                <w:color w:val="auto"/>
              </w:rPr>
            </w:pPr>
          </w:p>
        </w:tc>
        <w:tc>
          <w:tcPr>
            <w:tcW w:w="780" w:type="dxa"/>
            <w:vAlign w:val="bottom"/>
            <w:gridSpan w:val="3"/>
            <w:vMerge w:val="restart"/>
          </w:tcPr>
          <w:p>
            <w:pPr>
              <w:ind w:left="20"/>
              <w:spacing w:after="0" w:line="95" w:lineRule="exact"/>
              <w:rPr>
                <w:sz w:val="20"/>
                <w:szCs w:val="20"/>
                <w:color w:val="auto"/>
              </w:rPr>
            </w:pPr>
            <w:r>
              <w:rPr>
                <w:rFonts w:ascii="Times New Roman" w:cs="Times New Roman" w:eastAsia="Times New Roman" w:hAnsi="Times New Roman"/>
                <w:sz w:val="10"/>
                <w:szCs w:val="10"/>
                <w:color w:val="auto"/>
              </w:rPr>
              <w:t>Earnings</w:t>
            </w:r>
          </w:p>
        </w:tc>
        <w:tc>
          <w:tcPr>
            <w:tcW w:w="1000" w:type="dxa"/>
            <w:vAlign w:val="bottom"/>
            <w:gridSpan w:val="3"/>
            <w:vMerge w:val="restart"/>
          </w:tcPr>
          <w:p>
            <w:pPr>
              <w:jc w:val="center"/>
              <w:ind w:right="100"/>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920" w:type="dxa"/>
            <w:vAlign w:val="bottom"/>
            <w:gridSpan w:val="3"/>
            <w:vMerge w:val="restart"/>
          </w:tcPr>
          <w:p>
            <w:pPr>
              <w:jc w:val="right"/>
              <w:ind w:right="100"/>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84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color w:val="auto"/>
              </w:rPr>
              <w:t>controlling</w:t>
            </w:r>
          </w:p>
        </w:tc>
        <w:tc>
          <w:tcPr>
            <w:tcW w:w="120" w:type="dxa"/>
            <w:vAlign w:val="bottom"/>
          </w:tcPr>
          <w:p>
            <w:pPr>
              <w:spacing w:after="0"/>
              <w:rPr>
                <w:sz w:val="4"/>
                <w:szCs w:val="4"/>
                <w:color w:val="auto"/>
              </w:rPr>
            </w:pPr>
          </w:p>
        </w:tc>
        <w:tc>
          <w:tcPr>
            <w:tcW w:w="600" w:type="dxa"/>
            <w:vAlign w:val="bottom"/>
            <w:vMerge w:val="restart"/>
          </w:tcPr>
          <w:p>
            <w:pPr>
              <w:jc w:val="right"/>
              <w:ind w:right="150"/>
              <w:spacing w:after="0" w:line="95" w:lineRule="exact"/>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21"/>
        </w:trPr>
        <w:tc>
          <w:tcPr>
            <w:tcW w:w="1460" w:type="dxa"/>
            <w:vAlign w:val="bottom"/>
            <w:vMerge w:val="continue"/>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6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Income</w:t>
            </w:r>
          </w:p>
        </w:tc>
        <w:tc>
          <w:tcPr>
            <w:tcW w:w="16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tcPr>
          <w:p>
            <w:pPr>
              <w:spacing w:after="0"/>
              <w:rPr>
                <w:sz w:val="17"/>
                <w:szCs w:val="17"/>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1, 2025</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82,813</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90,716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251,034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604,621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(432,634)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578,038</w:t>
            </w:r>
          </w:p>
        </w:tc>
        <w:tc>
          <w:tcPr>
            <w:tcW w:w="0" w:type="dxa"/>
            <w:vAlign w:val="bottom"/>
          </w:tcPr>
          <w:p>
            <w:pPr>
              <w:spacing w:after="0"/>
              <w:rPr>
                <w:sz w:val="1"/>
                <w:szCs w:val="1"/>
                <w:color w:val="auto"/>
              </w:rPr>
            </w:pPr>
          </w:p>
        </w:tc>
      </w:tr>
      <w:tr>
        <w:trPr>
          <w:trHeight w:val="195"/>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46,171</w:t>
            </w:r>
          </w:p>
        </w:tc>
        <w:tc>
          <w:tcPr>
            <w:tcW w:w="0" w:type="dxa"/>
            <w:vAlign w:val="bottom"/>
          </w:tcPr>
          <w:p>
            <w:pPr>
              <w:spacing w:after="0"/>
              <w:rPr>
                <w:sz w:val="1"/>
                <w:szCs w:val="1"/>
                <w:color w:val="auto"/>
              </w:rPr>
            </w:pPr>
          </w:p>
        </w:tc>
      </w:tr>
      <w:tr>
        <w:trPr>
          <w:trHeight w:val="146"/>
        </w:trPr>
        <w:tc>
          <w:tcPr>
            <w:tcW w:w="14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Accretion of Series 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Issuance of shares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employee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plans, net of shares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withheld for</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taxes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Share-based</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5,089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units for Class A</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15,929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Deferred tax assets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recorded upon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for shares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Class A Common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6,956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Tax receivable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agreement liabilities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recorded upon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units for shares of</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Class A Common</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3"/>
        </w:trPr>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unit holders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Reallocation between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controlling and non-</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controlling interest</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4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84,716</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100,426</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241,552</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622,405</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(411,786)</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211,651</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418,424</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630,075</w:t>
            </w:r>
          </w:p>
        </w:tc>
        <w:tc>
          <w:tcPr>
            <w:tcW w:w="0" w:type="dxa"/>
            <w:vAlign w:val="bottom"/>
          </w:tcPr>
          <w:p>
            <w:pPr>
              <w:spacing w:after="0"/>
              <w:rPr>
                <w:sz w:val="1"/>
                <w:szCs w:val="1"/>
                <w:color w:val="auto"/>
              </w:rPr>
            </w:pPr>
          </w:p>
        </w:tc>
      </w:tr>
      <w:tr>
        <w:trPr>
          <w:trHeight w:val="17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3051F2"/>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Temporary Equity and Stockholders' Equity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4"/>
        </w:trPr>
        <w:tc>
          <w:tcPr>
            <w:tcW w:w="1420" w:type="dxa"/>
            <w:vAlign w:val="bottom"/>
          </w:tcPr>
          <w:p>
            <w:pPr>
              <w:spacing w:after="0"/>
              <w:rPr>
                <w:sz w:val="24"/>
                <w:szCs w:val="24"/>
                <w:color w:val="auto"/>
              </w:rPr>
            </w:pPr>
          </w:p>
        </w:tc>
        <w:tc>
          <w:tcPr>
            <w:tcW w:w="15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Series A Convertible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1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Class A Common Stock</w:t>
            </w:r>
          </w:p>
        </w:tc>
        <w:tc>
          <w:tcPr>
            <w:tcW w:w="1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Class V Common Stock</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4"/>
                <w:szCs w:val="4"/>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4"/>
                <w:szCs w:val="4"/>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4"/>
                <w:szCs w:val="4"/>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Non-</w:t>
            </w: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1520" w:type="dxa"/>
            <w:vAlign w:val="bottom"/>
            <w:gridSpan w:val="5"/>
          </w:tcPr>
          <w:p>
            <w:pPr>
              <w:jc w:val="center"/>
              <w:ind w:right="60"/>
              <w:spacing w:after="0" w:line="145" w:lineRule="exact"/>
              <w:rPr>
                <w:sz w:val="20"/>
                <w:szCs w:val="20"/>
                <w:color w:val="auto"/>
              </w:rPr>
            </w:pPr>
            <w:r>
              <w:rPr>
                <w:rFonts w:ascii="Times New Roman" w:cs="Times New Roman" w:eastAsia="Times New Roman" w:hAnsi="Times New Roman"/>
                <w:sz w:val="14"/>
                <w:szCs w:val="14"/>
                <w:color w:val="auto"/>
              </w:rPr>
              <w:t>Preferred Stock</w:t>
            </w:r>
          </w:p>
        </w:tc>
        <w:tc>
          <w:tcPr>
            <w:tcW w:w="1540" w:type="dxa"/>
            <w:vAlign w:val="bottom"/>
            <w:gridSpan w:val="5"/>
            <w:vMerge w:val="continue"/>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color w:val="auto"/>
              </w:rPr>
              <w:t>Paid in</w:t>
            </w:r>
          </w:p>
        </w:tc>
        <w:tc>
          <w:tcPr>
            <w:tcW w:w="120" w:type="dxa"/>
            <w:vAlign w:val="bottom"/>
          </w:tcPr>
          <w:p>
            <w:pPr>
              <w:spacing w:after="0"/>
              <w:rPr>
                <w:sz w:val="4"/>
                <w:szCs w:val="4"/>
                <w:color w:val="auto"/>
              </w:rPr>
            </w:pPr>
          </w:p>
        </w:tc>
        <w:tc>
          <w:tcPr>
            <w:tcW w:w="780" w:type="dxa"/>
            <w:vAlign w:val="bottom"/>
            <w:gridSpan w:val="3"/>
            <w:vMerge w:val="restart"/>
          </w:tcPr>
          <w:p>
            <w:pPr>
              <w:ind w:left="20"/>
              <w:spacing w:after="0" w:line="95" w:lineRule="exact"/>
              <w:rPr>
                <w:sz w:val="20"/>
                <w:szCs w:val="20"/>
                <w:color w:val="auto"/>
              </w:rPr>
            </w:pPr>
            <w:r>
              <w:rPr>
                <w:rFonts w:ascii="Times New Roman" w:cs="Times New Roman" w:eastAsia="Times New Roman" w:hAnsi="Times New Roman"/>
                <w:sz w:val="10"/>
                <w:szCs w:val="10"/>
                <w:color w:val="auto"/>
              </w:rPr>
              <w:t>Earnings</w:t>
            </w:r>
          </w:p>
        </w:tc>
        <w:tc>
          <w:tcPr>
            <w:tcW w:w="102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920" w:type="dxa"/>
            <w:vAlign w:val="bottom"/>
            <w:gridSpan w:val="3"/>
            <w:vMerge w:val="restart"/>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820" w:type="dxa"/>
            <w:vAlign w:val="bottom"/>
            <w:gridSpan w:val="3"/>
            <w:vMerge w:val="restart"/>
          </w:tcPr>
          <w:p>
            <w:pPr>
              <w:jc w:val="center"/>
              <w:ind w:right="100"/>
              <w:spacing w:after="0" w:line="95" w:lineRule="exact"/>
              <w:rPr>
                <w:sz w:val="20"/>
                <w:szCs w:val="20"/>
                <w:color w:val="auto"/>
              </w:rPr>
            </w:pPr>
            <w:r>
              <w:rPr>
                <w:rFonts w:ascii="Times New Roman" w:cs="Times New Roman" w:eastAsia="Times New Roman" w:hAnsi="Times New Roman"/>
                <w:sz w:val="10"/>
                <w:szCs w:val="10"/>
                <w:color w:val="auto"/>
              </w:rPr>
              <w:t>controlling</w:t>
            </w:r>
          </w:p>
        </w:tc>
        <w:tc>
          <w:tcPr>
            <w:tcW w:w="140" w:type="dxa"/>
            <w:vAlign w:val="bottom"/>
          </w:tcPr>
          <w:p>
            <w:pPr>
              <w:spacing w:after="0"/>
              <w:rPr>
                <w:sz w:val="4"/>
                <w:szCs w:val="4"/>
                <w:color w:val="auto"/>
              </w:rPr>
            </w:pPr>
          </w:p>
        </w:tc>
        <w:tc>
          <w:tcPr>
            <w:tcW w:w="600" w:type="dxa"/>
            <w:vAlign w:val="bottom"/>
            <w:vMerge w:val="restart"/>
          </w:tcPr>
          <w:p>
            <w:pPr>
              <w:jc w:val="right"/>
              <w:ind w:right="149"/>
              <w:spacing w:after="0" w:line="95" w:lineRule="exact"/>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20"/>
        </w:trPr>
        <w:tc>
          <w:tcPr>
            <w:tcW w:w="1420" w:type="dxa"/>
            <w:vAlign w:val="bottom"/>
            <w:vMerge w:val="continue"/>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(Deficit)</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7"/>
                <w:szCs w:val="17"/>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24"/>
        </w:trPr>
        <w:tc>
          <w:tcPr>
            <w:tcW w:w="142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 January 1,</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84,663</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251,034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603,780</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(451,978)</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150,322</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373,184</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523,506</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120,666</w:t>
            </w: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Accretion of Series 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Dividends related to</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Series A Convertible</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Other comprehensive</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9,405</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under employee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plans, net of 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withheld for</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0" w:type="dxa"/>
            <w:vAlign w:val="bottom"/>
          </w:tcPr>
          <w:p>
            <w:pPr>
              <w:spacing w:after="0"/>
              <w:rPr>
                <w:sz w:val="1"/>
                <w:szCs w:val="1"/>
                <w:color w:val="auto"/>
              </w:rPr>
            </w:pPr>
          </w:p>
        </w:tc>
      </w:tr>
      <w:tr>
        <w:trPr>
          <w:trHeight w:val="193"/>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taxes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Share-based</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units for Class A</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(16,641)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Deferred tax assets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recorded upon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units for shares of</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Common</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Tax receivable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agreement liabilities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recorded upon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exchange of THG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units for shares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Class A Common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0" w:type="dxa"/>
            <w:vAlign w:val="bottom"/>
          </w:tcPr>
          <w:p>
            <w:pPr>
              <w:spacing w:after="0"/>
              <w:rPr>
                <w:sz w:val="1"/>
                <w:szCs w:val="1"/>
                <w:color w:val="auto"/>
              </w:rPr>
            </w:pPr>
          </w:p>
        </w:tc>
      </w:tr>
      <w:tr>
        <w:trPr>
          <w:trHeight w:val="195"/>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Distributions paid to</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(30,547)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(30,547)</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unit holders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Reallocation between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controlling and non-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controlling interest</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42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84,716</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241,552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622,405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(411,786)</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211,651</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418,424</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630,075</w:t>
            </w:r>
          </w:p>
        </w:tc>
        <w:tc>
          <w:tcPr>
            <w:tcW w:w="0" w:type="dxa"/>
            <w:vAlign w:val="bottom"/>
          </w:tcPr>
          <w:p>
            <w:pPr>
              <w:spacing w:after="0"/>
              <w:rPr>
                <w:sz w:val="1"/>
                <w:szCs w:val="1"/>
                <w:color w:val="auto"/>
              </w:rPr>
            </w:pPr>
          </w:p>
        </w:tc>
      </w:tr>
      <w:tr>
        <w:trPr>
          <w:trHeight w:val="19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3051F2"/>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Hagerty,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Nine months ended September 30,</w:t>
            </w:r>
          </w:p>
        </w:tc>
        <w:tc>
          <w:tcPr>
            <w:tcW w:w="640" w:type="dxa"/>
            <w:vAlign w:val="bottom"/>
            <w:tcBorders>
              <w:bottom w:val="single" w:sz="8" w:color="auto"/>
            </w:tcBorders>
          </w:tcPr>
          <w:p>
            <w:pPr>
              <w:spacing w:after="0"/>
              <w:rPr>
                <w:sz w:val="17"/>
                <w:szCs w:val="17"/>
                <w:color w:val="auto"/>
              </w:rPr>
            </w:pPr>
          </w:p>
        </w:tc>
      </w:tr>
      <w:tr>
        <w:trPr>
          <w:trHeight w:val="198"/>
        </w:trPr>
        <w:tc>
          <w:tcPr>
            <w:tcW w:w="78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2026</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640" w:type="dxa"/>
            <w:vAlign w:val="bottom"/>
            <w:tcBorders>
              <w:bottom w:val="single" w:sz="8" w:color="auto"/>
            </w:tcBorders>
          </w:tcPr>
          <w:p>
            <w:pPr>
              <w:spacing w:after="0"/>
              <w:rPr>
                <w:sz w:val="17"/>
                <w:szCs w:val="17"/>
                <w:color w:val="auto"/>
              </w:rPr>
            </w:pPr>
          </w:p>
        </w:tc>
      </w:tr>
      <w:tr>
        <w:trPr>
          <w:trHeight w:val="235"/>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020" w:type="dxa"/>
            <w:vAlign w:val="bottom"/>
          </w:tcPr>
          <w:p>
            <w:pPr>
              <w:spacing w:after="0"/>
              <w:rPr>
                <w:sz w:val="20"/>
                <w:szCs w:val="20"/>
                <w:color w:val="auto"/>
              </w:rPr>
            </w:pPr>
          </w:p>
        </w:tc>
        <w:tc>
          <w:tcPr>
            <w:tcW w:w="1760" w:type="dxa"/>
            <w:vAlign w:val="bottom"/>
            <w:gridSpan w:val="3"/>
          </w:tcPr>
          <w:p>
            <w:pPr>
              <w:jc w:val="right"/>
              <w:ind w:right="604"/>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640" w:type="dxa"/>
            <w:vAlign w:val="bottom"/>
          </w:tcPr>
          <w:p>
            <w:pPr>
              <w:spacing w:after="0"/>
              <w:rPr>
                <w:sz w:val="20"/>
                <w:szCs w:val="20"/>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2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31,565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120,666</w:t>
            </w: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from operating activities:</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disposals of equipment, software, and other assets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Expense related to TRA Liability</w:t>
            </w:r>
          </w:p>
        </w:tc>
        <w:tc>
          <w:tcPr>
            <w:tcW w:w="10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32,275</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29,213</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27,734</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Provision for deferred taxes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(33,718)</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(34,413)</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Impairment of operating lease right-of-use assets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14,926</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14,627</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lease expense</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6,279</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6,590</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investment gains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(2,150)</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(Accretion) amortization of discount and premium, net</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(3,489)</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of gain on loss portfolio transfer</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(4,478)</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1,681</w:t>
            </w: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and premiums receivable</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118,273</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(118,634)</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acquisition costs, net</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103,708</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(36,030)</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Reinsurance recoverables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(5,903)</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reinsurance premiums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(31,075)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(5,674)</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Advance premiums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12,656</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Due to insurers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(75,556)</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49,927</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Losses payable and reserves for unpaid losses and loss adjustment expenses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(32,072)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9,800</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Unearned premiums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230,711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81,855</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Ceding commissions payable</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(81,620)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30,084</w:t>
            </w:r>
          </w:p>
        </w:tc>
      </w:tr>
      <w:tr>
        <w:trPr>
          <w:trHeight w:val="20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assets and liabilities, net</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(8,032)</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6,843</w:t>
            </w:r>
          </w:p>
        </w:tc>
      </w:tr>
      <w:tr>
        <w:trPr>
          <w:trHeight w:val="19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280,145</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189,885</w:t>
            </w:r>
          </w:p>
        </w:tc>
      </w:tr>
      <w:tr>
        <w:trPr>
          <w:trHeight w:val="18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(23,564)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(18,499)</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Acquisitions, net of cash acquired, and other investments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(2,125)</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Issuance of notes receivable</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(119,687)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(49,095)</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Collection of notes receivable</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72,538</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14,832</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Purchases of fixed maturity securities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(302,630)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(223,055)</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equity securities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(79,300)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(10,565)</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maturities and sales of fixed maturity securities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352,660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163,369</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sales of equity securities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35,395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1,421</w:t>
            </w:r>
          </w:p>
        </w:tc>
      </w:tr>
      <w:tr>
        <w:trPr>
          <w:trHeight w:val="194"/>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(66,040)</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(122,806)</w:t>
            </w:r>
          </w:p>
        </w:tc>
      </w:tr>
      <w:tr>
        <w:trPr>
          <w:trHeight w:val="18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of debt</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(80,950)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(170,673)</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debt, net of issuance costs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150,605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240,701</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loss portfolio transfer</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50,500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Claims payments made from loss portfolio transfer</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(16,876)</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Distributions paid to non-controlling interest unit holders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(11,132)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(30,547)</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 of Series A Convertible Preferred Stock dividends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(5,600)</w:t>
            </w:r>
          </w:p>
        </w:tc>
      </w:tr>
      <w:tr>
        <w:trPr>
          <w:trHeight w:val="200"/>
        </w:trPr>
        <w:tc>
          <w:tcPr>
            <w:tcW w:w="7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Funding of TRA Liability payments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5"/>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Funding of employee tax obligations upon vesting of share-based payments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(3,536)</w:t>
            </w:r>
          </w:p>
        </w:tc>
      </w:tr>
      <w:tr>
        <w:trPr>
          <w:trHeight w:val="20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w:t>
            </w:r>
          </w:p>
        </w:tc>
      </w:tr>
      <w:tr>
        <w:trPr>
          <w:trHeight w:val="198"/>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80,466</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30,411</w:t>
            </w:r>
          </w:p>
        </w:tc>
      </w:tr>
      <w:tr>
        <w:trPr>
          <w:trHeight w:val="194"/>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 and restricted cash and cash equivalents</w:t>
            </w:r>
          </w:p>
        </w:tc>
        <w:tc>
          <w:tcPr>
            <w:tcW w:w="10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2,312</w:t>
            </w:r>
          </w:p>
        </w:tc>
      </w:tr>
      <w:tr>
        <w:trPr>
          <w:trHeight w:val="218"/>
        </w:trPr>
        <w:tc>
          <w:tcPr>
            <w:tcW w:w="7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 cash and cash equivalents and restricted cash and cash equivalents</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294,563</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99,802</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cash and cash equivalents and restricted cash and cash equivalents</w:t>
            </w:r>
          </w:p>
        </w:tc>
        <w:tc>
          <w:tcPr>
            <w:tcW w:w="10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299,000</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232,845</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cash and cash equivalents and restricted cash and cash equivalents</w:t>
            </w:r>
          </w:p>
        </w:tc>
        <w:tc>
          <w:tcPr>
            <w:tcW w:w="102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593,563</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332,647</w:t>
            </w: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-3685540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 20 for information regarding Related-Party Transactions.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Hagerty, Inc.</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 Description of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Hagerty, Inc. is a holding company and the sole managing member of The Hagerty Group, LLC ("THG"). Hagerty, Inc.'s sole material asset</w:t>
      </w:r>
    </w:p>
    <w:p>
      <w:pPr>
        <w:spacing w:after="0" w:line="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9"/>
          <w:szCs w:val="19"/>
          <w:color w:val="auto"/>
        </w:rPr>
        <w:t>is its ownership in THG, through which all of its business is conducted. In these Notes to the Condensed Consolidated Financial Statements, the terms "Hagerty" and the "Company" refer to Hagerty, Inc. and its consolidated subsidiaries unless the context requires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Hagerty is a market leader in providing insurance for collector cars and enthusiast vehicles, helping the automotive enthusiast community</w:t>
      </w:r>
    </w:p>
    <w:p>
      <w:pPr>
        <w:ind w:right="20"/>
        <w:spacing w:after="0" w:line="215" w:lineRule="auto"/>
        <w:rPr>
          <w:sz w:val="20"/>
          <w:szCs w:val="20"/>
          <w:color w:val="auto"/>
        </w:rPr>
      </w:pPr>
      <w:r>
        <w:rPr>
          <w:rFonts w:ascii="Times New Roman" w:cs="Times New Roman" w:eastAsia="Times New Roman" w:hAnsi="Times New Roman"/>
          <w:sz w:val="19"/>
          <w:szCs w:val="19"/>
          <w:color w:val="auto"/>
        </w:rPr>
        <w:t>protect and enjoy their special cars for over 40 years. Through Hagerty's insurance model, the Company's wholly owned subsidiary, Hagerty Reinsurance Limited ("Hagerty Re"), reinsures collector car and enthusiast vehicle insurance risks. Hagerty Re reinsures risks predominantly</w:t>
      </w:r>
    </w:p>
    <w:p>
      <w:pPr>
        <w:ind w:right="60"/>
        <w:spacing w:after="0" w:line="228" w:lineRule="auto"/>
        <w:rPr>
          <w:sz w:val="20"/>
          <w:szCs w:val="20"/>
          <w:color w:val="auto"/>
        </w:rPr>
      </w:pPr>
      <w:r>
        <w:rPr>
          <w:rFonts w:ascii="Times New Roman" w:cs="Times New Roman" w:eastAsia="Times New Roman" w:hAnsi="Times New Roman"/>
          <w:sz w:val="20"/>
          <w:szCs w:val="20"/>
          <w:color w:val="auto"/>
        </w:rPr>
        <w:t>from policies issued by Essentia Insurance Company ("Essentia"), a subsidiary of Markel Group Inc. ("Markel"). Markel is a related party to the Company. Refer to Note 20 — Related-Party Transactions for additional information on related party transactions with Markel.</w:t>
      </w:r>
    </w:p>
    <w:p>
      <w:pPr>
        <w:spacing w:after="0" w:line="17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The Company also operates as a Managing General Agent ("MGA") by underwriting, selling, and servicing collector car and enthusiast vehicle insurance policies on behalf of insurance carriers, including Hagerty Re under the Markel Fronting Arrangement. Hagerty's insurance</w:t>
      </w:r>
    </w:p>
    <w:p>
      <w:pPr>
        <w:spacing w:after="0" w:line="1" w:lineRule="exact"/>
        <w:rPr>
          <w:sz w:val="20"/>
          <w:szCs w:val="20"/>
          <w:color w:val="auto"/>
        </w:rPr>
      </w:pPr>
    </w:p>
    <w:p>
      <w:pPr>
        <w:ind w:right="820"/>
        <w:spacing w:after="0" w:line="221" w:lineRule="auto"/>
        <w:rPr>
          <w:sz w:val="20"/>
          <w:szCs w:val="20"/>
          <w:color w:val="auto"/>
        </w:rPr>
      </w:pPr>
      <w:r>
        <w:rPr>
          <w:rFonts w:ascii="Times New Roman" w:cs="Times New Roman" w:eastAsia="Times New Roman" w:hAnsi="Times New Roman"/>
          <w:sz w:val="20"/>
          <w:szCs w:val="20"/>
          <w:color w:val="auto"/>
        </w:rPr>
        <w:t>products are complemented by its membership product, Hagerty Drivers Club ("HDC"), its renowned car events, and its media and entertainment platforms.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Complementing its insurance offerings, Hagerty operates a trusted marketplace where collectors and enthusiasts can buy and sell a wide</w:t>
      </w:r>
    </w:p>
    <w:p>
      <w:pPr>
        <w:ind w:right="80"/>
        <w:spacing w:after="0" w:line="221" w:lineRule="auto"/>
        <w:rPr>
          <w:sz w:val="20"/>
          <w:szCs w:val="20"/>
          <w:color w:val="auto"/>
        </w:rPr>
      </w:pPr>
      <w:r>
        <w:rPr>
          <w:rFonts w:ascii="Times New Roman" w:cs="Times New Roman" w:eastAsia="Times New Roman" w:hAnsi="Times New Roman"/>
          <w:sz w:val="20"/>
          <w:szCs w:val="20"/>
          <w:color w:val="auto"/>
        </w:rPr>
        <w:t>range of vehicles, from entry level enthusiast vehicles to high value collector cars. Through its marketplace, Hagerty also provides financing solutions by structuring loans secured by collector cars.</w:t>
      </w:r>
    </w:p>
    <w:p>
      <w:pPr>
        <w:spacing w:after="0" w:line="189"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On December 31, 2025, the Company entered into new contractual arrangements and amended the terms of its existing contractual arrangements with Markel and its subsidiaries. These coordinated transactions with Markel formed an arrangement that became effective</w:t>
      </w:r>
    </w:p>
    <w:p>
      <w:pPr>
        <w:spacing w:after="0" w:line="211" w:lineRule="auto"/>
        <w:rPr>
          <w:sz w:val="20"/>
          <w:szCs w:val="20"/>
          <w:color w:val="auto"/>
        </w:rPr>
      </w:pPr>
      <w:r>
        <w:rPr>
          <w:rFonts w:ascii="Times New Roman" w:cs="Times New Roman" w:eastAsia="Times New Roman" w:hAnsi="Times New Roman"/>
          <w:sz w:val="20"/>
          <w:szCs w:val="20"/>
          <w:color w:val="auto"/>
        </w:rPr>
        <w:t>January 1, 2026 (the "Markel Fronting Arrangement"). Due to the expanded underwriting and claims authority granted under the Markel</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Fronting Arrangement, the Company now controls the Essentia book of business, with Hagerty Re's quota share percentage for the risks that it assumes from Essentia increasing from 80% to 100% effective January 1, 2026. Refer to Note 3 — Markel Fronting Arrangement for</w:t>
      </w:r>
    </w:p>
    <w:p>
      <w:pPr>
        <w:spacing w:after="0"/>
        <w:rPr>
          <w:sz w:val="20"/>
          <w:szCs w:val="20"/>
          <w:color w:val="auto"/>
        </w:rPr>
      </w:pPr>
      <w:r>
        <w:rPr>
          <w:rFonts w:ascii="Times New Roman" w:cs="Times New Roman" w:eastAsia="Times New Roman" w:hAnsi="Times New Roman"/>
          <w:sz w:val="20"/>
          <w:szCs w:val="20"/>
          <w:color w:val="auto"/>
        </w:rPr>
        <w:t>additional information.</w:t>
      </w:r>
    </w:p>
    <w:p>
      <w:pPr>
        <w:spacing w:after="0" w:line="194"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During the third quarter of 2026, management approved a plan to sell the primary assets and liabilities of a single Hagerty Garage + Social location. As of September 30, 2026, the assets and liabilities were classified as held-for-sale and certain fixed assets were written down to</w:t>
      </w:r>
    </w:p>
    <w:p>
      <w:pPr>
        <w:spacing w:after="0" w:line="211" w:lineRule="auto"/>
        <w:rPr>
          <w:sz w:val="20"/>
          <w:szCs w:val="20"/>
          <w:color w:val="auto"/>
        </w:rPr>
      </w:pPr>
      <w:r>
        <w:rPr>
          <w:rFonts w:ascii="Times New Roman" w:cs="Times New Roman" w:eastAsia="Times New Roman" w:hAnsi="Times New Roman"/>
          <w:sz w:val="20"/>
          <w:szCs w:val="20"/>
          <w:color w:val="auto"/>
        </w:rPr>
        <w:t>their estimated fair value based on the expected sales price, resulting in a loss of approximately $2.3 million recorded in the third quarter of</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2026 within "Selling, general, and administrative expenses" in the Condensed Consolidated Statements of Operations. The assets and liabilities classified as held-for-sale are not material to the Condensed Consolidated Balance Sheets and have not been presented separately.</w:t>
      </w:r>
    </w:p>
    <w:p>
      <w:pPr>
        <w:spacing w:after="0"/>
        <w:rPr>
          <w:sz w:val="20"/>
          <w:szCs w:val="20"/>
          <w:color w:val="auto"/>
        </w:rPr>
      </w:pPr>
      <w:r>
        <w:rPr>
          <w:rFonts w:ascii="Times New Roman" w:cs="Times New Roman" w:eastAsia="Times New Roman" w:hAnsi="Times New Roman"/>
          <w:sz w:val="20"/>
          <w:szCs w:val="20"/>
          <w:color w:val="auto"/>
        </w:rPr>
        <w:t>The Company completed the sale of these assets and liabilities on November 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 Summary of Significant Accounting Policies</w:t>
      </w:r>
    </w:p>
    <w:p>
      <w:pPr>
        <w:spacing w:after="0" w:line="202" w:lineRule="exact"/>
        <w:rPr>
          <w:sz w:val="20"/>
          <w:szCs w:val="20"/>
          <w:color w:val="auto"/>
        </w:rPr>
      </w:pPr>
    </w:p>
    <w:p>
      <w:pPr>
        <w:ind w:right="46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Basis of Presentation — </w:t>
      </w:r>
      <w:r>
        <w:rPr>
          <w:rFonts w:ascii="Times New Roman" w:cs="Times New Roman" w:eastAsia="Times New Roman" w:hAnsi="Times New Roman"/>
          <w:sz w:val="19"/>
          <w:szCs w:val="19"/>
          <w:color w:val="auto"/>
        </w:rPr>
        <w:t>These unaudited Condensed Consolidated Financial Statements are prepared in accordance with accounting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principles generally accepted in the United States of America ("GAAP") and pursuant to the regulations of the Securities and Exchange</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20"/>
          <w:szCs w:val="20"/>
          <w:color w:val="auto"/>
        </w:rPr>
        <w:t>Commission. Certain information and footnote disclosures normally included in financial statements prepared in accordance with GAAP have been condensed or omitted from this report, as permitted by such rules and regulations.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These unaudited Condensed Consolidated Financial Statements reflect all normal recurring adjustments and accruals that are, in the opinion of management, necessary for a fair statement of the Company's financial position and results of operations for the interim periods presented.</w:t>
      </w:r>
    </w:p>
    <w:p>
      <w:pPr>
        <w:spacing w:after="0" w:line="150"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9"/>
          <w:szCs w:val="19"/>
          <w:color w:val="auto"/>
        </w:rPr>
        <w:t>These unaudited Condensed Consolidated Financial Statements should be read in conjunction with the audited Consolidated Financial Statements and Notes thereto included in the Company's Annual Report on Form 10-K ("Annual Report") for the year ended December 31,</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2025. The results of operations for the three and nine months ended September 30, 2026 are not necessarily indicative of the results that may be expected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Beginning with its Annual Report for the year ended December 31, 2025, the Company's Consolidated Financial Statements are presented in</w:t>
      </w:r>
    </w:p>
    <w:p>
      <w:pPr>
        <w:spacing w:after="0" w:line="6"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accordance with Article 7 of Regulation S-X ("Article 7"), which governs financial reporting for insurance companies. In prior reporting periods, the Company presented its Consolidated Financial Statements in accordance with Article 5 of Regulation S-X ("Article 5"), which is</w:t>
      </w:r>
    </w:p>
    <w:p>
      <w:pPr>
        <w:spacing w:after="0" w:line="211" w:lineRule="auto"/>
        <w:rPr>
          <w:sz w:val="20"/>
          <w:szCs w:val="20"/>
          <w:color w:val="auto"/>
        </w:rPr>
      </w:pPr>
      <w:r>
        <w:rPr>
          <w:rFonts w:ascii="Times New Roman" w:cs="Times New Roman" w:eastAsia="Times New Roman" w:hAnsi="Times New Roman"/>
          <w:sz w:val="20"/>
          <w:szCs w:val="20"/>
          <w:color w:val="auto"/>
        </w:rPr>
        <w:t>applicable to entities operating in non-specialized industries. The adoption of Article 7 reflects the continued expansion of the Company's</w:t>
      </w:r>
    </w:p>
    <w:p>
      <w:pPr>
        <w:ind w:right="340"/>
        <w:spacing w:after="0" w:line="221" w:lineRule="auto"/>
        <w:rPr>
          <w:sz w:val="20"/>
          <w:szCs w:val="20"/>
          <w:color w:val="auto"/>
        </w:rPr>
      </w:pPr>
      <w:r>
        <w:rPr>
          <w:rFonts w:ascii="Times New Roman" w:cs="Times New Roman" w:eastAsia="Times New Roman" w:hAnsi="Times New Roman"/>
          <w:sz w:val="20"/>
          <w:szCs w:val="20"/>
          <w:color w:val="auto"/>
        </w:rPr>
        <w:t>insurance operations, including expanded risk assumption under the Markel Fronting Arrangement and the introduction of its Enthusiast+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changes resulting from the transition to Article 7 include the discontinuation of a classified balance sheet and the</w:t>
      </w:r>
    </w:p>
    <w:p>
      <w:pPr>
        <w:ind w:right="740"/>
        <w:spacing w:after="0" w:line="215" w:lineRule="auto"/>
        <w:rPr>
          <w:sz w:val="20"/>
          <w:szCs w:val="20"/>
          <w:color w:val="auto"/>
        </w:rPr>
      </w:pPr>
      <w:r>
        <w:rPr>
          <w:rFonts w:ascii="Times New Roman" w:cs="Times New Roman" w:eastAsia="Times New Roman" w:hAnsi="Times New Roman"/>
          <w:sz w:val="19"/>
          <w:szCs w:val="19"/>
          <w:color w:val="auto"/>
        </w:rPr>
        <w:t>reclassification of certain line items on the Condensed Consolidated Balance Sheets. In addition, "Net investment income" and "Net investment gains" are reported as components of revenue within the Condensed Consolidated Statements of Operations. Prior period</w:t>
      </w:r>
    </w:p>
    <w:p>
      <w:pPr>
        <w:ind w:right="540"/>
        <w:spacing w:after="0" w:line="228" w:lineRule="auto"/>
        <w:rPr>
          <w:sz w:val="20"/>
          <w:szCs w:val="20"/>
          <w:color w:val="auto"/>
        </w:rPr>
      </w:pPr>
      <w:r>
        <w:rPr>
          <w:rFonts w:ascii="Times New Roman" w:cs="Times New Roman" w:eastAsia="Times New Roman" w:hAnsi="Times New Roman"/>
          <w:sz w:val="20"/>
          <w:szCs w:val="20"/>
          <w:color w:val="auto"/>
        </w:rPr>
        <w:t>financial information has been recast to conform to the requirements of Article 7. The following table presents a reconciliation of Total revenue as presented in the prior period in accordance with Article 5, to the current presentation in accordance with Article 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Three months ended</w:t>
            </w:r>
          </w:p>
        </w:tc>
        <w:tc>
          <w:tcPr>
            <w:tcW w:w="200" w:type="dxa"/>
            <w:vAlign w:val="bottom"/>
          </w:tcPr>
          <w:p>
            <w:pPr>
              <w:spacing w:after="0"/>
              <w:rPr>
                <w:sz w:val="22"/>
                <w:szCs w:val="22"/>
                <w:color w:val="auto"/>
              </w:rPr>
            </w:pPr>
          </w:p>
        </w:tc>
        <w:tc>
          <w:tcPr>
            <w:tcW w:w="19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62"/>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September 30, 2025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September 30, 2025</w:t>
            </w:r>
          </w:p>
        </w:tc>
      </w:tr>
      <w:tr>
        <w:trPr>
          <w:trHeight w:val="290"/>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4"/>
          </w:tcPr>
          <w:p>
            <w:pPr>
              <w:jc w:val="right"/>
              <w:ind w:right="1521"/>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26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revenue presented in accordance with Article 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379,994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1,068,286</w:t>
            </w:r>
          </w:p>
        </w:tc>
      </w:tr>
      <w:tr>
        <w:trPr>
          <w:trHeight w:val="257"/>
        </w:trPr>
        <w:tc>
          <w:tcPr>
            <w:tcW w:w="6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1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28,626</w:t>
            </w:r>
          </w:p>
        </w:tc>
      </w:tr>
      <w:tr>
        <w:trPr>
          <w:trHeight w:val="257"/>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1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2,150</w:t>
            </w:r>
          </w:p>
        </w:tc>
      </w:tr>
      <w:tr>
        <w:trPr>
          <w:trHeight w:val="250"/>
        </w:trPr>
        <w:tc>
          <w:tcPr>
            <w:tcW w:w="6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revenue presented in accordance with Article 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391,417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1,099,062</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Principles of Consolidation — </w:t>
      </w:r>
      <w:r>
        <w:rPr>
          <w:rFonts w:ascii="Times New Roman" w:cs="Times New Roman" w:eastAsia="Times New Roman" w:hAnsi="Times New Roman"/>
          <w:sz w:val="20"/>
          <w:szCs w:val="20"/>
          <w:color w:val="auto"/>
        </w:rPr>
        <w:t>These unaudited Condensed Consolidated Financial Statements contain the accounts of Hagerty, Inc.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majority-owned or controlled subsidiaries. All intercompany accounts and transactions have been eliminated in consolidation.</w:t>
      </w:r>
    </w:p>
    <w:p>
      <w:pPr>
        <w:spacing w:after="0" w:line="169"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9"/>
          <w:szCs w:val="19"/>
          <w:color w:val="auto"/>
        </w:rPr>
        <w:t>As the sole managing member of THG, Hagerty operates and controls all of the business affairs of THG and has the sole voting interest in, and controls the management of, THG. Accordingly, Hagerty consolidates THG in its consolidated financial statements, resulting in a non-</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controlling interest related to the economic interest in THG held by other parties. As of September 30, 2026 and December 31, 2025, Hagerty, Inc.'s economic ownership of THG was 34.7% and 29.1%, respectively. Refer to Note 16 — Stockholders' Equity for additional</w:t>
      </w:r>
    </w:p>
    <w:p>
      <w:pPr>
        <w:spacing w:after="0"/>
        <w:rPr>
          <w:sz w:val="20"/>
          <w:szCs w:val="20"/>
          <w:color w:val="auto"/>
        </w:rPr>
      </w:pPr>
      <w:r>
        <w:rPr>
          <w:rFonts w:ascii="Times New Roman" w:cs="Times New Roman" w:eastAsia="Times New Roman" w:hAnsi="Times New Roman"/>
          <w:sz w:val="20"/>
          <w:szCs w:val="20"/>
          <w:color w:val="auto"/>
        </w:rPr>
        <w:t>information related to the non-controlling interest in THG.</w:t>
      </w:r>
    </w:p>
    <w:p>
      <w:pPr>
        <w:spacing w:after="0" w:line="180"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 xml:space="preserve">The financial statements of THG are consolidated by the Company under the voting interest method in accordance with Accounting Standards Codification ("ASC") Topic 810, </w:t>
      </w:r>
      <w:r>
        <w:rPr>
          <w:rFonts w:ascii="Times New Roman" w:cs="Times New Roman" w:eastAsia="Times New Roman" w:hAnsi="Times New Roman"/>
          <w:sz w:val="19"/>
          <w:szCs w:val="19"/>
          <w:i w:val="1"/>
          <w:iCs w:val="1"/>
          <w:color w:val="auto"/>
        </w:rPr>
        <w:t>Consolidations</w:t>
      </w:r>
      <w:r>
        <w:rPr>
          <w:rFonts w:ascii="Times New Roman" w:cs="Times New Roman" w:eastAsia="Times New Roman" w:hAnsi="Times New Roman"/>
          <w:sz w:val="19"/>
          <w:szCs w:val="19"/>
          <w:color w:val="auto"/>
        </w:rPr>
        <w:t xml:space="preserve"> ("ASC 810"). Non-controlling interest is presented separately in the Condensed</w:t>
      </w:r>
    </w:p>
    <w:p>
      <w:pPr>
        <w:spacing w:after="0" w:line="1" w:lineRule="exact"/>
        <w:rPr>
          <w:sz w:val="20"/>
          <w:szCs w:val="20"/>
          <w:color w:val="auto"/>
        </w:rPr>
      </w:pPr>
    </w:p>
    <w:p>
      <w:pPr>
        <w:ind w:right="620"/>
        <w:spacing w:after="0" w:line="233" w:lineRule="auto"/>
        <w:rPr>
          <w:sz w:val="20"/>
          <w:szCs w:val="20"/>
          <w:color w:val="auto"/>
        </w:rPr>
      </w:pPr>
      <w:r>
        <w:rPr>
          <w:rFonts w:ascii="Times New Roman" w:cs="Times New Roman" w:eastAsia="Times New Roman" w:hAnsi="Times New Roman"/>
          <w:sz w:val="19"/>
          <w:szCs w:val="19"/>
          <w:color w:val="auto"/>
        </w:rPr>
        <w:t>Consolidated Statements of Operations, the Condensed Consolidated Statements of Comprehensive Income (Loss), the Condensed Consolidated Balance Sheets, and the Condensed Consolidated Statements of Changes in Temporary Equity and Stockholders'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 — </w:t>
      </w:r>
      <w:r>
        <w:rPr>
          <w:rFonts w:ascii="Times New Roman" w:cs="Times New Roman" w:eastAsia="Times New Roman" w:hAnsi="Times New Roman"/>
          <w:sz w:val="20"/>
          <w:szCs w:val="20"/>
          <w:color w:val="auto"/>
        </w:rPr>
        <w:t>The preparation of these unaudited Condensed Consolidated Financial Statements in conformity with GAAP requires</w:t>
      </w:r>
    </w:p>
    <w:p>
      <w:pPr>
        <w:ind w:right="360"/>
        <w:spacing w:after="0" w:line="215" w:lineRule="auto"/>
        <w:rPr>
          <w:sz w:val="20"/>
          <w:szCs w:val="20"/>
          <w:color w:val="auto"/>
        </w:rPr>
      </w:pPr>
      <w:r>
        <w:rPr>
          <w:rFonts w:ascii="Times New Roman" w:cs="Times New Roman" w:eastAsia="Times New Roman" w:hAnsi="Times New Roman"/>
          <w:sz w:val="19"/>
          <w:szCs w:val="19"/>
          <w:color w:val="auto"/>
        </w:rPr>
        <w:t>management to make estimates and assumptions that affect the reported amounts of assets and liabilities, and the disclosure of contingent assets and liabilities as of the date of the Condensed Consolidated Financial Statements, as well as the reported amounts of revenue and</w:t>
      </w:r>
    </w:p>
    <w:p>
      <w:pPr>
        <w:ind w:right="460"/>
        <w:spacing w:after="0" w:line="228" w:lineRule="auto"/>
        <w:rPr>
          <w:sz w:val="20"/>
          <w:szCs w:val="20"/>
          <w:color w:val="auto"/>
        </w:rPr>
      </w:pPr>
      <w:r>
        <w:rPr>
          <w:rFonts w:ascii="Times New Roman" w:cs="Times New Roman" w:eastAsia="Times New Roman" w:hAnsi="Times New Roman"/>
          <w:sz w:val="20"/>
          <w:szCs w:val="20"/>
          <w:color w:val="auto"/>
        </w:rPr>
        <w:t>expenses during the reporting period. Although the estimates are considered reasonable, actual results could materially differ from those estimates.</w:t>
      </w:r>
    </w:p>
    <w:p>
      <w:pPr>
        <w:spacing w:after="0" w:line="176" w:lineRule="exact"/>
        <w:rPr>
          <w:sz w:val="20"/>
          <w:szCs w:val="20"/>
          <w:color w:val="auto"/>
        </w:rPr>
      </w:pPr>
    </w:p>
    <w:p>
      <w:pPr>
        <w:jc w:val="both"/>
        <w:ind w:right="180"/>
        <w:spacing w:after="0" w:line="234" w:lineRule="auto"/>
        <w:rPr>
          <w:sz w:val="20"/>
          <w:szCs w:val="20"/>
          <w:color w:val="auto"/>
        </w:rPr>
      </w:pPr>
      <w:r>
        <w:rPr>
          <w:rFonts w:ascii="Times New Roman" w:cs="Times New Roman" w:eastAsia="Times New Roman" w:hAnsi="Times New Roman"/>
          <w:sz w:val="19"/>
          <w:szCs w:val="19"/>
          <w:color w:val="auto"/>
        </w:rPr>
        <w:t>Significant estimates made by management include, but are not limited to: (i) the Company's reserves for unpaid losses and loss adjustment expenses, including incurred but not reported ("IBNR") claims (see Note 12); (ii) the valuation of deferred income tax assets (see Note 19);</w:t>
      </w:r>
    </w:p>
    <w:p>
      <w:pPr>
        <w:spacing w:after="0" w:line="1" w:lineRule="exact"/>
        <w:rPr>
          <w:sz w:val="20"/>
          <w:szCs w:val="20"/>
          <w:color w:val="auto"/>
        </w:rPr>
      </w:pPr>
    </w:p>
    <w:p>
      <w:pPr>
        <w:jc w:val="both"/>
        <w:ind w:firstLine="8"/>
        <w:spacing w:after="0" w:line="223" w:lineRule="auto"/>
        <w:tabs>
          <w:tab w:leader="none" w:pos="34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the liability associated with the tax receivable agreement entered into in connection with the consummation of the business combination that formed Hagerty, Inc. in 2021 (the "TRA") (the "TRA Liability") (see Note 19); and (iv) the fair values of the reporting units used in assessing the recoverability of goodwill. Although some variability is inherent in these estimates, management believes that the current estimates are reasonable in all material respects. These estimates are reviewed regularly and adjusted as necessary. Adjustments related to changes in estimates are reflected in the Company's results of operations in the period during which those estimates changed.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Deferred Acquisition Costs — </w:t>
      </w:r>
      <w:r>
        <w:rPr>
          <w:rFonts w:ascii="Times New Roman" w:cs="Times New Roman" w:eastAsia="Times New Roman" w:hAnsi="Times New Roman"/>
          <w:sz w:val="20"/>
          <w:szCs w:val="20"/>
          <w:color w:val="auto"/>
        </w:rPr>
        <w:t>Deferred acquisition costs include costs directly related to the successful acquisition of insurance policies</w:t>
      </w:r>
    </w:p>
    <w:p>
      <w:pPr>
        <w:ind w:right="780"/>
        <w:spacing w:after="0" w:line="221" w:lineRule="auto"/>
        <w:rPr>
          <w:sz w:val="20"/>
          <w:szCs w:val="20"/>
          <w:color w:val="auto"/>
        </w:rPr>
      </w:pPr>
      <w:r>
        <w:rPr>
          <w:rFonts w:ascii="Times New Roman" w:cs="Times New Roman" w:eastAsia="Times New Roman" w:hAnsi="Times New Roman"/>
          <w:sz w:val="20"/>
          <w:szCs w:val="20"/>
          <w:color w:val="auto"/>
        </w:rPr>
        <w:t>where the Company assumes risk. Deferred acquisition costs are amortized over the average policy life of 12 months within "Policy acquisition costs,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 to January 1, 2026, Deferred acquisition costs included only the ceding commissions paid to insurance carriers for the risks assumed</w:t>
      </w:r>
    </w:p>
    <w:p>
      <w:pPr>
        <w:ind w:right="360"/>
        <w:spacing w:after="0" w:line="215" w:lineRule="auto"/>
        <w:rPr>
          <w:sz w:val="20"/>
          <w:szCs w:val="20"/>
          <w:color w:val="auto"/>
        </w:rPr>
      </w:pPr>
      <w:r>
        <w:rPr>
          <w:rFonts w:ascii="Times New Roman" w:cs="Times New Roman" w:eastAsia="Times New Roman" w:hAnsi="Times New Roman"/>
          <w:sz w:val="19"/>
          <w:szCs w:val="19"/>
          <w:color w:val="auto"/>
        </w:rPr>
        <w:t>under quota share reinsurance agreements with those carriers. Effective January 1, 2026, the Company's accounting policy for Deferred acquisition costs also includes costs associated with policies issued through the Markel Fronting Arrangement (refer to Note 3 — Markel</w:t>
      </w:r>
    </w:p>
    <w:p>
      <w:pPr>
        <w:ind w:right="380"/>
        <w:spacing w:after="0" w:line="228" w:lineRule="auto"/>
        <w:rPr>
          <w:sz w:val="20"/>
          <w:szCs w:val="20"/>
          <w:color w:val="auto"/>
        </w:rPr>
      </w:pPr>
      <w:r>
        <w:rPr>
          <w:rFonts w:ascii="Times New Roman" w:cs="Times New Roman" w:eastAsia="Times New Roman" w:hAnsi="Times New Roman"/>
          <w:sz w:val="20"/>
          <w:szCs w:val="20"/>
          <w:color w:val="auto"/>
        </w:rPr>
        <w:t>Fronting Arrangement) such as (i) third-party broker expense; (ii) certain salaries, benefits, and other costs associated with underwriting, selling, issuing, and processing policies; (iii) fees paid to the fronting carrier; and (iv) premium taxes.</w:t>
      </w:r>
    </w:p>
    <w:p>
      <w:pPr>
        <w:spacing w:after="0" w:line="17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9"/>
          <w:szCs w:val="19"/>
          <w:color w:val="auto"/>
        </w:rPr>
        <w:t>Deferred acquisition costs are considered to be recoverable if the sum of expected future earned premiums exceeds expected future claims and expenses. Anticipated investment income is also a factor in the recoverability analysis. If, as a result of the recoverability analysis, a loss</w:t>
      </w:r>
    </w:p>
    <w:p>
      <w:pPr>
        <w:spacing w:after="0" w:line="1" w:lineRule="exact"/>
        <w:rPr>
          <w:sz w:val="20"/>
          <w:szCs w:val="20"/>
          <w:color w:val="auto"/>
        </w:rPr>
      </w:pPr>
    </w:p>
    <w:p>
      <w:pPr>
        <w:ind w:right="620"/>
        <w:spacing w:after="0" w:line="215" w:lineRule="auto"/>
        <w:rPr>
          <w:sz w:val="20"/>
          <w:szCs w:val="20"/>
          <w:color w:val="auto"/>
        </w:rPr>
      </w:pPr>
      <w:r>
        <w:rPr>
          <w:rFonts w:ascii="Times New Roman" w:cs="Times New Roman" w:eastAsia="Times New Roman" w:hAnsi="Times New Roman"/>
          <w:sz w:val="19"/>
          <w:szCs w:val="19"/>
          <w:color w:val="auto"/>
        </w:rPr>
        <w:t>is determined to be probable, a premium deficiency reserve is recognized in the period in which such determination is made. As of September 30, 2026 and December 31, 2025, the Company did not have a premium deficiency reserve recorded related to its deferred</w:t>
      </w:r>
    </w:p>
    <w:p>
      <w:pPr>
        <w:spacing w:after="0"/>
        <w:rPr>
          <w:sz w:val="20"/>
          <w:szCs w:val="20"/>
          <w:color w:val="auto"/>
        </w:rPr>
      </w:pPr>
      <w:r>
        <w:rPr>
          <w:rFonts w:ascii="Times New Roman" w:cs="Times New Roman" w:eastAsia="Times New Roman" w:hAnsi="Times New Roman"/>
          <w:sz w:val="20"/>
          <w:szCs w:val="20"/>
          <w:color w:val="auto"/>
        </w:rPr>
        <w:t>acquisition costs.</w:t>
      </w:r>
    </w:p>
    <w:p>
      <w:pPr>
        <w:spacing w:after="0" w:line="19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Reclassifications — </w:t>
      </w:r>
      <w:r>
        <w:rPr>
          <w:rFonts w:ascii="Times New Roman" w:cs="Times New Roman" w:eastAsia="Times New Roman" w:hAnsi="Times New Roman"/>
          <w:sz w:val="19"/>
          <w:szCs w:val="19"/>
          <w:color w:val="auto"/>
        </w:rPr>
        <w:t>Beginning with its Quarterly Report on Form 10-Q ("Quarterly Report") for the period ended March 31, 2026,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updated certain line items presented in its Condensed Consolidated Statements of Operations and Condensed Consolidated Balance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Sheets to reflect changes to its business resulting from the Markel Fronting Arrangement (refer to Note 3 — Markel Fronting Arrangement).</w:t>
      </w:r>
    </w:p>
    <w:p>
      <w:pPr>
        <w:spacing w:after="0" w:line="20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In the Condensed Consolidated Statements of Operations: (i) "Ceding commissions, net" was renamed "Policy acquisition costs, net" and expanded to include the amortization of Deferred acquisition costs associated with policies issued through the Markel Fronting Arrangement,</w:t>
      </w:r>
    </w:p>
    <w:p>
      <w:pPr>
        <w:spacing w:after="0" w:line="211" w:lineRule="auto"/>
        <w:rPr>
          <w:sz w:val="20"/>
          <w:szCs w:val="20"/>
          <w:color w:val="auto"/>
        </w:rPr>
      </w:pPr>
      <w:r>
        <w:rPr>
          <w:rFonts w:ascii="Times New Roman" w:cs="Times New Roman" w:eastAsia="Times New Roman" w:hAnsi="Times New Roman"/>
          <w:sz w:val="20"/>
          <w:szCs w:val="20"/>
          <w:color w:val="auto"/>
        </w:rPr>
        <w:t>as discussed above; (ii) expenses associated with the risk-taking activities of the Company's Insurance segment that do not qualify as policy</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acquisition costs and were previously recorded within "Sales expense", "Salaries and benefits", "General and administrative expenses", and "Depreciation and amortization" have been reclassified within "Underwriting and other insurance expenses"; and (iii) expenses associated</w:t>
      </w:r>
    </w:p>
    <w:p>
      <w:pPr>
        <w:ind w:right="80"/>
        <w:spacing w:after="0" w:line="215" w:lineRule="auto"/>
        <w:rPr>
          <w:sz w:val="20"/>
          <w:szCs w:val="20"/>
          <w:color w:val="auto"/>
        </w:rPr>
      </w:pPr>
      <w:r>
        <w:rPr>
          <w:rFonts w:ascii="Times New Roman" w:cs="Times New Roman" w:eastAsia="Times New Roman" w:hAnsi="Times New Roman"/>
          <w:sz w:val="19"/>
          <w:szCs w:val="19"/>
          <w:color w:val="auto"/>
        </w:rPr>
        <w:t>with the non-risk taking activities of the Insurance segment, the Marketplace segment, and corporate expenses that were previously recorded within "Sales expense", "Salaries and benefits", "General and administrative expenses", and "Depreciation and amortization" have been</w:t>
      </w:r>
    </w:p>
    <w:p>
      <w:pPr>
        <w:spacing w:after="0"/>
        <w:rPr>
          <w:sz w:val="20"/>
          <w:szCs w:val="20"/>
          <w:color w:val="auto"/>
        </w:rPr>
      </w:pPr>
      <w:r>
        <w:rPr>
          <w:rFonts w:ascii="Times New Roman" w:cs="Times New Roman" w:eastAsia="Times New Roman" w:hAnsi="Times New Roman"/>
          <w:sz w:val="20"/>
          <w:szCs w:val="20"/>
          <w:color w:val="auto"/>
        </w:rPr>
        <w:t>reclassified within "Selling, general, and administrative expenses".</w:t>
      </w:r>
    </w:p>
    <w:p>
      <w:pPr>
        <w:spacing w:after="0" w:line="194"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0"/>
          <w:szCs w:val="20"/>
          <w:color w:val="auto"/>
        </w:rPr>
        <w:t>On the Condensed Consolidated Balance Sheets, prior period contingent underwriting commission ("CUC") receivables previously reported within "Commissions receivable" have been reclassified to "Other assets" to conform to the current year presentation.</w:t>
      </w:r>
    </w:p>
    <w:p>
      <w:pPr>
        <w:spacing w:after="0" w:line="18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reclassifications in the Condensed Consolidated Statements of Operations and the Condensed Consolidated Balance Sheets had no effect on previously reported net income or cash flows.</w:t>
      </w:r>
    </w:p>
    <w:p>
      <w:pPr>
        <w:spacing w:after="0" w:line="17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A comprehensive list of the Company's significant accounting policies is set forth in Note 2 — Summary of Significant Accounting Policies to the Consolidated Financial Statements contained in its Annual Report for the year ended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Standards Not Yet Adopted</w:t>
      </w:r>
    </w:p>
    <w:p>
      <w:pPr>
        <w:spacing w:after="0" w:line="202"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Income Statement Expenses — </w:t>
      </w:r>
      <w:r>
        <w:rPr>
          <w:rFonts w:ascii="Times New Roman" w:cs="Times New Roman" w:eastAsia="Times New Roman" w:hAnsi="Times New Roman"/>
          <w:sz w:val="19"/>
          <w:szCs w:val="19"/>
          <w:color w:val="auto"/>
        </w:rPr>
        <w:t>In November 2024, the Financial Accounting Standards Board ("FASB") issued Accounting Standards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Update ("ASU") No. 2024-03, </w:t>
      </w:r>
      <w:r>
        <w:rPr>
          <w:rFonts w:ascii="Times New Roman" w:cs="Times New Roman" w:eastAsia="Times New Roman" w:hAnsi="Times New Roman"/>
          <w:sz w:val="19"/>
          <w:szCs w:val="19"/>
          <w:i w:val="1"/>
          <w:iCs w:val="1"/>
          <w:color w:val="auto"/>
        </w:rPr>
        <w:t>Disaggregation of Income Statement Expenses (ASC 220-40)</w:t>
      </w:r>
      <w:r>
        <w:rPr>
          <w:rFonts w:ascii="Times New Roman" w:cs="Times New Roman" w:eastAsia="Times New Roman" w:hAnsi="Times New Roman"/>
          <w:sz w:val="19"/>
          <w:szCs w:val="19"/>
          <w:color w:val="auto"/>
        </w:rPr>
        <w:t>, which is intended to help investors to better</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understand an entity's performance, assess an entity's prospects for future cash flows, and compare an entity's performance over time and with that of other entities. ASU No. 2024-03 primarily requires entities to disaggregate, in the notes to the financial statements, any relevant</w:t>
      </w:r>
    </w:p>
    <w:p>
      <w:pPr>
        <w:spacing w:after="0" w:line="222" w:lineRule="auto"/>
        <w:rPr>
          <w:sz w:val="20"/>
          <w:szCs w:val="20"/>
          <w:color w:val="auto"/>
        </w:rPr>
      </w:pPr>
      <w:r>
        <w:rPr>
          <w:rFonts w:ascii="Times New Roman" w:cs="Times New Roman" w:eastAsia="Times New Roman" w:hAnsi="Times New Roman"/>
          <w:sz w:val="19"/>
          <w:szCs w:val="19"/>
          <w:color w:val="auto"/>
        </w:rPr>
        <w:t>expense caption presented in the statement of operations within continuing operations into the following required natural expense categories:</w:t>
      </w:r>
    </w:p>
    <w:p>
      <w:pPr>
        <w:ind w:right="480"/>
        <w:spacing w:after="0" w:line="215" w:lineRule="auto"/>
        <w:rPr>
          <w:sz w:val="20"/>
          <w:szCs w:val="20"/>
          <w:color w:val="auto"/>
        </w:rPr>
      </w:pPr>
      <w:r>
        <w:rPr>
          <w:rFonts w:ascii="Times New Roman" w:cs="Times New Roman" w:eastAsia="Times New Roman" w:hAnsi="Times New Roman"/>
          <w:sz w:val="19"/>
          <w:szCs w:val="19"/>
          <w:color w:val="auto"/>
        </w:rPr>
        <w:t>purchases of inventory, employee compensation, depreciation, and intangible asset amortization. The new standard does not change the presentation of expense information in the Condensed Consolidated Statements of Operations. ASU No. 2024-03 is effective for annual</w:t>
      </w:r>
    </w:p>
    <w:p>
      <w:pPr>
        <w:spacing w:after="0" w:line="222" w:lineRule="auto"/>
        <w:rPr>
          <w:sz w:val="20"/>
          <w:szCs w:val="20"/>
          <w:color w:val="auto"/>
        </w:rPr>
      </w:pPr>
      <w:r>
        <w:rPr>
          <w:rFonts w:ascii="Times New Roman" w:cs="Times New Roman" w:eastAsia="Times New Roman" w:hAnsi="Times New Roman"/>
          <w:sz w:val="19"/>
          <w:szCs w:val="19"/>
          <w:color w:val="auto"/>
        </w:rPr>
        <w:t>reporting periods beginning after December 15, 2026 and interim reporting periods beginning after December 15, 2027. The Company is still</w:t>
      </w:r>
    </w:p>
    <w:p>
      <w:pPr>
        <w:ind w:right="180"/>
        <w:spacing w:after="0" w:line="221" w:lineRule="auto"/>
        <w:rPr>
          <w:sz w:val="20"/>
          <w:szCs w:val="20"/>
          <w:color w:val="auto"/>
        </w:rPr>
      </w:pPr>
      <w:r>
        <w:rPr>
          <w:rFonts w:ascii="Times New Roman" w:cs="Times New Roman" w:eastAsia="Times New Roman" w:hAnsi="Times New Roman"/>
          <w:sz w:val="20"/>
          <w:szCs w:val="20"/>
          <w:color w:val="auto"/>
        </w:rPr>
        <w:t>assessing the impact of ASU No. 2024-03 and, upon adoption, the Company may be required to include certain additional disclosures in its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Internal-Use Software — </w:t>
      </w:r>
      <w:r>
        <w:rPr>
          <w:rFonts w:ascii="Times New Roman" w:cs="Times New Roman" w:eastAsia="Times New Roman" w:hAnsi="Times New Roman"/>
          <w:sz w:val="20"/>
          <w:szCs w:val="20"/>
          <w:color w:val="auto"/>
        </w:rPr>
        <w:t>In September 2025, the FASB issued ASU No. 2025-06,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Targeted Improvements to the Accounting for Internal-</w:t>
      </w:r>
    </w:p>
    <w:p>
      <w:pPr>
        <w:ind w:right="480"/>
        <w:spacing w:after="0" w:line="215" w:lineRule="auto"/>
        <w:rPr>
          <w:sz w:val="20"/>
          <w:szCs w:val="20"/>
          <w:color w:val="auto"/>
        </w:rPr>
      </w:pPr>
      <w:r>
        <w:rPr>
          <w:rFonts w:ascii="Times New Roman" w:cs="Times New Roman" w:eastAsia="Times New Roman" w:hAnsi="Times New Roman"/>
          <w:sz w:val="19"/>
          <w:szCs w:val="19"/>
          <w:i w:val="1"/>
          <w:iCs w:val="1"/>
          <w:color w:val="auto"/>
        </w:rPr>
        <w:t>Use Software (ASC 350-40)</w:t>
      </w:r>
      <w:r>
        <w:rPr>
          <w:rFonts w:ascii="Times New Roman" w:cs="Times New Roman" w:eastAsia="Times New Roman" w:hAnsi="Times New Roman"/>
          <w:sz w:val="19"/>
          <w:szCs w:val="19"/>
          <w:color w:val="auto"/>
        </w:rPr>
        <w:t>, which modernizes the accounting guidance for the costs to develop software for internal use. The targeted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improvements primarily introduce a new capitalization threshold based on management's commitment to funding and the probability of</w:t>
      </w:r>
    </w:p>
    <w:p>
      <w:pPr>
        <w:spacing w:after="0" w:line="211" w:lineRule="auto"/>
        <w:rPr>
          <w:sz w:val="20"/>
          <w:szCs w:val="20"/>
          <w:color w:val="auto"/>
        </w:rPr>
      </w:pPr>
      <w:r>
        <w:rPr>
          <w:rFonts w:ascii="Times New Roman" w:cs="Times New Roman" w:eastAsia="Times New Roman" w:hAnsi="Times New Roman"/>
          <w:sz w:val="20"/>
          <w:szCs w:val="20"/>
          <w:color w:val="auto"/>
        </w:rPr>
        <w:t>project completion. It removes all references to a sequential software development method. The new standard does not change the types of</w:t>
      </w:r>
    </w:p>
    <w:p>
      <w:pPr>
        <w:spacing w:after="0" w:line="197" w:lineRule="auto"/>
        <w:rPr>
          <w:sz w:val="20"/>
          <w:szCs w:val="20"/>
          <w:color w:val="auto"/>
        </w:rPr>
      </w:pPr>
      <w:r>
        <w:rPr>
          <w:rFonts w:ascii="Times New Roman" w:cs="Times New Roman" w:eastAsia="Times New Roman" w:hAnsi="Times New Roman"/>
          <w:sz w:val="20"/>
          <w:szCs w:val="20"/>
          <w:color w:val="auto"/>
        </w:rPr>
        <w:t>costs eligible for capitalization, the point at which capitalization ends, or the associated amortization and impairment guidance. ASU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2025-06 is effective for annual periods beginning after December 15, 2027. The Company is still assessing the impact of ASU No. 2025-06.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 Markel Fronting Arrangement</w:t>
      </w:r>
    </w:p>
    <w:p>
      <w:pPr>
        <w:spacing w:after="0" w:line="220"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9"/>
          <w:szCs w:val="19"/>
          <w:color w:val="auto"/>
        </w:rPr>
        <w:t>The Company is party to a master relationship agreement and associated agency and claims services agreements with Markel. Under these agreements, the Company's U.S. MGA subsidiary is licensed and authorized to underwrite, sell, and service insurance policies written</w:t>
      </w:r>
    </w:p>
    <w:p>
      <w:pPr>
        <w:spacing w:after="0"/>
        <w:rPr>
          <w:sz w:val="20"/>
          <w:szCs w:val="20"/>
          <w:color w:val="auto"/>
        </w:rPr>
      </w:pPr>
      <w:r>
        <w:rPr>
          <w:rFonts w:ascii="Times New Roman" w:cs="Times New Roman" w:eastAsia="Times New Roman" w:hAnsi="Times New Roman"/>
          <w:sz w:val="20"/>
          <w:szCs w:val="20"/>
          <w:color w:val="auto"/>
        </w:rPr>
        <w:t>through Essentia, which serves as the dedicated carrier for Hagerty's specialty collector vehicle insurance policies in the U.S.</w:t>
      </w:r>
    </w:p>
    <w:p>
      <w:pPr>
        <w:spacing w:after="0" w:line="194"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On December 31, 2025, the Company entered into new contractual arrangements and amended the terms of its existing contractual arrangements with Markel and its subsidiaries. These coordinated transactions with Markel formed the Markel Fronting Arrangement, which</w:t>
      </w:r>
    </w:p>
    <w:p>
      <w:pPr>
        <w:spacing w:after="0" w:line="211" w:lineRule="auto"/>
        <w:rPr>
          <w:sz w:val="20"/>
          <w:szCs w:val="20"/>
          <w:color w:val="auto"/>
        </w:rPr>
      </w:pPr>
      <w:r>
        <w:rPr>
          <w:rFonts w:ascii="Times New Roman" w:cs="Times New Roman" w:eastAsia="Times New Roman" w:hAnsi="Times New Roman"/>
          <w:sz w:val="20"/>
          <w:szCs w:val="20"/>
          <w:color w:val="auto"/>
        </w:rPr>
        <w:t>became effective January 1, 2026. Under the Markel Fronting Arrangement: (i) the Company continues to issue policies through Essentia,</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with its underwriting authority (including pricing decisions, rate filing, insurance rating, and risk selections) and claims authority expanded to the maximum levels permitted by applicable law; (ii) the Company assumed increased administrative responsibilities for the policies issued</w:t>
      </w:r>
    </w:p>
    <w:p>
      <w:pPr>
        <w:spacing w:after="0" w:line="222" w:lineRule="auto"/>
        <w:rPr>
          <w:sz w:val="20"/>
          <w:szCs w:val="20"/>
          <w:color w:val="auto"/>
        </w:rPr>
      </w:pPr>
      <w:r>
        <w:rPr>
          <w:rFonts w:ascii="Times New Roman" w:cs="Times New Roman" w:eastAsia="Times New Roman" w:hAnsi="Times New Roman"/>
          <w:sz w:val="19"/>
          <w:szCs w:val="19"/>
          <w:color w:val="auto"/>
        </w:rPr>
        <w:t>through Essentia; (iii) Hagerty Re controls 100% of the premium and assumes 100% of the risk for policies issued through Essentia; and (iv)</w:t>
      </w:r>
    </w:p>
    <w:p>
      <w:pPr>
        <w:ind w:right="520"/>
        <w:spacing w:after="0" w:line="221" w:lineRule="auto"/>
        <w:rPr>
          <w:sz w:val="20"/>
          <w:szCs w:val="20"/>
          <w:color w:val="auto"/>
        </w:rPr>
      </w:pPr>
      <w:r>
        <w:rPr>
          <w:rFonts w:ascii="Times New Roman" w:cs="Times New Roman" w:eastAsia="Times New Roman" w:hAnsi="Times New Roman"/>
          <w:sz w:val="20"/>
          <w:szCs w:val="20"/>
          <w:color w:val="auto"/>
        </w:rPr>
        <w:t>Hagerty Re pays an initial fronting fee, representing 2% of written premium, to Markel for administrative support, which incrementally decreases based on the level of written premium in each calendar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Due to the expanded underwriting and claims authority granted under the Markel Fronting Arrangement, the Company now controls the</w:t>
      </w:r>
    </w:p>
    <w:p>
      <w:pPr>
        <w:ind w:right="80"/>
        <w:spacing w:after="0" w:line="215" w:lineRule="auto"/>
        <w:rPr>
          <w:sz w:val="20"/>
          <w:szCs w:val="20"/>
          <w:color w:val="auto"/>
        </w:rPr>
      </w:pPr>
      <w:r>
        <w:rPr>
          <w:rFonts w:ascii="Times New Roman" w:cs="Times New Roman" w:eastAsia="Times New Roman" w:hAnsi="Times New Roman"/>
          <w:sz w:val="19"/>
          <w:szCs w:val="19"/>
          <w:color w:val="auto"/>
        </w:rPr>
        <w:t>Essentia book of business. While the Company's U.S. MGA subsidiary and Hagerty Re continue to operate in the same manner they have historically, beginning on January 1, 2026, the benefit of the Company's MGA services with respect to the Essentia book of business is being</w:t>
      </w:r>
    </w:p>
    <w:p>
      <w:pPr>
        <w:spacing w:after="0" w:line="222" w:lineRule="auto"/>
        <w:rPr>
          <w:sz w:val="20"/>
          <w:szCs w:val="20"/>
          <w:color w:val="auto"/>
        </w:rPr>
      </w:pPr>
      <w:r>
        <w:rPr>
          <w:rFonts w:ascii="Times New Roman" w:cs="Times New Roman" w:eastAsia="Times New Roman" w:hAnsi="Times New Roman"/>
          <w:sz w:val="19"/>
          <w:szCs w:val="19"/>
          <w:color w:val="auto"/>
        </w:rPr>
        <w:t>received by Hagerty Re and not Essentia. As a result, effective in the first quarter of 2026, the Company is no longer recognizing commission</w:t>
      </w:r>
    </w:p>
    <w:p>
      <w:pPr>
        <w:ind w:right="240"/>
        <w:spacing w:after="0" w:line="215" w:lineRule="auto"/>
        <w:rPr>
          <w:sz w:val="20"/>
          <w:szCs w:val="20"/>
          <w:color w:val="auto"/>
        </w:rPr>
      </w:pPr>
      <w:r>
        <w:rPr>
          <w:rFonts w:ascii="Times New Roman" w:cs="Times New Roman" w:eastAsia="Times New Roman" w:hAnsi="Times New Roman"/>
          <w:sz w:val="19"/>
          <w:szCs w:val="19"/>
          <w:color w:val="auto"/>
        </w:rPr>
        <w:t>revenue or the associated ceding commission expense for Essentia-originated policies in its Condensed Consolidated Financial Statements. However, ceding commission expense associated with Essentia policies issued in 2025 is continuing to be recognized ratably over the</w:t>
      </w:r>
    </w:p>
    <w:p>
      <w:pPr>
        <w:ind w:right="160"/>
        <w:spacing w:after="0" w:line="221" w:lineRule="auto"/>
        <w:rPr>
          <w:sz w:val="20"/>
          <w:szCs w:val="20"/>
          <w:color w:val="auto"/>
        </w:rPr>
      </w:pPr>
      <w:r>
        <w:rPr>
          <w:rFonts w:ascii="Times New Roman" w:cs="Times New Roman" w:eastAsia="Times New Roman" w:hAnsi="Times New Roman"/>
          <w:sz w:val="20"/>
          <w:szCs w:val="20"/>
          <w:color w:val="auto"/>
        </w:rPr>
        <w:t>remaining term of those policies throughout 2026. In addition, policy acquisition costs incurred by the Company's U.S. MGA subsidiary for Essentia policies issued in 2026 are being deferred and amortized over the policy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31, 2025, in connection with the Markel Fronting Arrangement, the Company entered into a loss portfolio transfer agreement</w:t>
      </w:r>
    </w:p>
    <w:p>
      <w:pPr>
        <w:ind w:right="420"/>
        <w:spacing w:after="0" w:line="215" w:lineRule="auto"/>
        <w:rPr>
          <w:sz w:val="20"/>
          <w:szCs w:val="20"/>
          <w:color w:val="auto"/>
        </w:rPr>
      </w:pPr>
      <w:r>
        <w:rPr>
          <w:rFonts w:ascii="Times New Roman" w:cs="Times New Roman" w:eastAsia="Times New Roman" w:hAnsi="Times New Roman"/>
          <w:sz w:val="19"/>
          <w:szCs w:val="19"/>
          <w:color w:val="auto"/>
        </w:rPr>
        <w:t>(the "LPT Agreement") that became effective on January 1, 2026. Pursuant to the LPT Agreement, Hagerty Re assumed 100% of the net retained liabilities for Essentia-originated policies issued prior to January 1, 2026 and received $50.5 million in cash consideration. The</w:t>
      </w:r>
    </w:p>
    <w:p>
      <w:pPr>
        <w:spacing w:after="0" w:line="211" w:lineRule="auto"/>
        <w:rPr>
          <w:sz w:val="20"/>
          <w:szCs w:val="20"/>
          <w:color w:val="auto"/>
        </w:rPr>
      </w:pPr>
      <w:r>
        <w:rPr>
          <w:rFonts w:ascii="Times New Roman" w:cs="Times New Roman" w:eastAsia="Times New Roman" w:hAnsi="Times New Roman"/>
          <w:sz w:val="20"/>
          <w:szCs w:val="20"/>
          <w:color w:val="auto"/>
        </w:rPr>
        <w:t>Company is accounting for the LPT Agreement using the deposit method of accounting. At inception, the Company recorded the $50.5</w:t>
      </w:r>
    </w:p>
    <w:p>
      <w:pPr>
        <w:ind w:right="180"/>
        <w:spacing w:after="0" w:line="215" w:lineRule="auto"/>
        <w:rPr>
          <w:sz w:val="20"/>
          <w:szCs w:val="20"/>
          <w:color w:val="auto"/>
        </w:rPr>
      </w:pPr>
      <w:r>
        <w:rPr>
          <w:rFonts w:ascii="Times New Roman" w:cs="Times New Roman" w:eastAsia="Times New Roman" w:hAnsi="Times New Roman"/>
          <w:sz w:val="19"/>
          <w:szCs w:val="19"/>
          <w:color w:val="auto"/>
        </w:rPr>
        <w:t>million of cash consideration received as a deposit liability within "Other liabilities" on the Condensed Consolidated Balance Sheets. As of September 30, 2026, the estimated ultimate value of the liabilities assumed under the LPT Agreement was approximately $39.2 million and</w:t>
      </w:r>
    </w:p>
    <w:p>
      <w:pPr>
        <w:spacing w:after="0" w:line="211" w:lineRule="auto"/>
        <w:rPr>
          <w:sz w:val="20"/>
          <w:szCs w:val="20"/>
          <w:color w:val="auto"/>
        </w:rPr>
      </w:pPr>
      <w:r>
        <w:rPr>
          <w:rFonts w:ascii="Times New Roman" w:cs="Times New Roman" w:eastAsia="Times New Roman" w:hAnsi="Times New Roman"/>
          <w:sz w:val="20"/>
          <w:szCs w:val="20"/>
          <w:color w:val="auto"/>
        </w:rPr>
        <w:t>the deferred gain was $11.3 million, which is being recognized over the expected period of future claim payments within "Interest expense</w:t>
      </w:r>
    </w:p>
    <w:p>
      <w:pPr>
        <w:ind w:right="100"/>
        <w:spacing w:after="0" w:line="221" w:lineRule="auto"/>
        <w:rPr>
          <w:sz w:val="20"/>
          <w:szCs w:val="20"/>
          <w:color w:val="auto"/>
        </w:rPr>
      </w:pPr>
      <w:r>
        <w:rPr>
          <w:rFonts w:ascii="Times New Roman" w:cs="Times New Roman" w:eastAsia="Times New Roman" w:hAnsi="Times New Roman"/>
          <w:sz w:val="20"/>
          <w:szCs w:val="20"/>
          <w:color w:val="auto"/>
        </w:rPr>
        <w:t>and other, net" in the Condensed Consolidated Statements of Operations. The table below presents changes in the deposit liability associated with the LPT Agreement during the nine months ended September 30,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1"/>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26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Balance as of January 1, 2026</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50,500</w:t>
            </w:r>
          </w:p>
        </w:tc>
      </w:tr>
      <w:tr>
        <w:trPr>
          <w:trHeight w:val="257"/>
        </w:trPr>
        <w:tc>
          <w:tcPr>
            <w:tcW w:w="9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Amortization of deferred gain</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(4,478)</w:t>
            </w:r>
          </w:p>
        </w:tc>
      </w:tr>
      <w:tr>
        <w:trPr>
          <w:trHeight w:val="256"/>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Claim payments</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(16,876)</w:t>
            </w:r>
          </w:p>
        </w:tc>
      </w:tr>
      <w:tr>
        <w:trPr>
          <w:trHeight w:val="250"/>
        </w:trPr>
        <w:tc>
          <w:tcPr>
            <w:tcW w:w="9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Balance as of September 30, 2026</w:t>
            </w: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29,146</w:t>
            </w:r>
          </w:p>
        </w:tc>
      </w:tr>
      <w:tr>
        <w:trPr>
          <w:trHeight w:val="20"/>
        </w:trPr>
        <w:tc>
          <w:tcPr>
            <w:tcW w:w="9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 Supplemental Balance Sheet and Cash Flow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 and Restricted Cash and Cash Equivalents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2026 and 2025, cash and cash equivalents and restricted cash and cash equivalents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1100" w:type="dxa"/>
            <w:vAlign w:val="bottom"/>
            <w:tcBorders>
              <w:bottom w:val="single" w:sz="8" w:color="auto"/>
            </w:tcBorders>
          </w:tcPr>
          <w:p>
            <w:pPr>
              <w:spacing w:after="0"/>
              <w:rPr>
                <w:sz w:val="22"/>
                <w:szCs w:val="22"/>
                <w:color w:val="auto"/>
              </w:rPr>
            </w:pPr>
          </w:p>
        </w:tc>
      </w:tr>
      <w:tr>
        <w:trPr>
          <w:trHeight w:val="254"/>
        </w:trPr>
        <w:tc>
          <w:tcPr>
            <w:tcW w:w="7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100" w:type="dxa"/>
            <w:vAlign w:val="bottom"/>
          </w:tcPr>
          <w:p>
            <w:pPr>
              <w:spacing w:after="0"/>
              <w:rPr>
                <w:sz w:val="24"/>
                <w:szCs w:val="24"/>
                <w:color w:val="auto"/>
              </w:rPr>
            </w:pPr>
          </w:p>
        </w:tc>
      </w:tr>
      <w:tr>
        <w:trPr>
          <w:trHeight w:val="2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460,796</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160,386</w:t>
            </w:r>
          </w:p>
        </w:tc>
      </w:tr>
      <w:tr>
        <w:trPr>
          <w:trHeight w:val="25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Restricted cash and cash equivalents</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132,767</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172,261</w:t>
            </w:r>
          </w:p>
        </w:tc>
      </w:tr>
      <w:tr>
        <w:trPr>
          <w:trHeight w:val="285"/>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cash and cash equivalents and restricted cash and cash equivalents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593,563</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332,647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60604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Assets</w:t>
      </w:r>
    </w:p>
    <w:p>
      <w:pPr>
        <w:spacing w:after="0" w:line="220"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Hagerty Re maintains trust accounts for the benefit of ceding insurers as security for its obligations for losses, loss expenses, and unearned premium. The Company's wholly owned insurance carrier subsidiary, Drivers Edge Insurance Company ("Drivers Edge"), maintains assets</w:t>
      </w:r>
    </w:p>
    <w:p>
      <w:pPr>
        <w:spacing w:after="0"/>
        <w:rPr>
          <w:sz w:val="20"/>
          <w:szCs w:val="20"/>
          <w:color w:val="auto"/>
        </w:rPr>
      </w:pPr>
      <w:r>
        <w:rPr>
          <w:rFonts w:ascii="Times New Roman" w:cs="Times New Roman" w:eastAsia="Times New Roman" w:hAnsi="Times New Roman"/>
          <w:sz w:val="20"/>
          <w:szCs w:val="20"/>
          <w:color w:val="auto"/>
        </w:rPr>
        <w:t>on deposit with a number of regulatory authorities to support its insurance operations.</w:t>
      </w:r>
    </w:p>
    <w:p>
      <w:pPr>
        <w:spacing w:after="0" w:line="194" w:lineRule="exact"/>
        <w:rPr>
          <w:sz w:val="20"/>
          <w:szCs w:val="20"/>
          <w:color w:val="auto"/>
        </w:rPr>
      </w:pPr>
    </w:p>
    <w:p>
      <w:pPr>
        <w:ind w:right="480"/>
        <w:spacing w:after="0" w:line="227" w:lineRule="auto"/>
        <w:rPr>
          <w:sz w:val="20"/>
          <w:szCs w:val="20"/>
          <w:color w:val="auto"/>
        </w:rPr>
      </w:pPr>
      <w:r>
        <w:rPr>
          <w:rFonts w:ascii="Times New Roman" w:cs="Times New Roman" w:eastAsia="Times New Roman" w:hAnsi="Times New Roman"/>
          <w:sz w:val="19"/>
          <w:szCs w:val="19"/>
          <w:color w:val="auto"/>
        </w:rPr>
        <w:t>The Company's MGA subsidiaries collect premiums from insureds on behalf of various insurance carriers. Prior to remittance to the insurance carrier, these funds are required to be held in trust for the benefit of the insurance carriers and segregated from the Company's</w:t>
      </w:r>
    </w:p>
    <w:p>
      <w:pPr>
        <w:spacing w:after="0"/>
        <w:rPr>
          <w:sz w:val="20"/>
          <w:szCs w:val="20"/>
          <w:color w:val="auto"/>
        </w:rPr>
      </w:pPr>
      <w:r>
        <w:rPr>
          <w:rFonts w:ascii="Times New Roman" w:cs="Times New Roman" w:eastAsia="Times New Roman" w:hAnsi="Times New Roman"/>
          <w:sz w:val="20"/>
          <w:szCs w:val="20"/>
          <w:color w:val="auto"/>
        </w:rPr>
        <w:t>operating cash.</w:t>
      </w:r>
    </w:p>
    <w:p>
      <w:pPr>
        <w:spacing w:after="0" w:line="194"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Broad Arrow Capital LLC ("BAC") and its consolidated subsidiaries maintain bank accounts that are required for the operation of the BAC Credit Facility (as defined in Note 14 — Debt). The funds in these bank accounts represent security under the BAC Credit Facility and their</w:t>
      </w:r>
    </w:p>
    <w:p>
      <w:pPr>
        <w:spacing w:after="0"/>
        <w:rPr>
          <w:sz w:val="20"/>
          <w:szCs w:val="20"/>
          <w:color w:val="auto"/>
        </w:rPr>
      </w:pPr>
      <w:r>
        <w:rPr>
          <w:rFonts w:ascii="Times New Roman" w:cs="Times New Roman" w:eastAsia="Times New Roman" w:hAnsi="Times New Roman"/>
          <w:sz w:val="20"/>
          <w:szCs w:val="20"/>
          <w:color w:val="auto"/>
        </w:rPr>
        <w:t>use is restricted to the servicing of the debt outstanding under that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restricted assets as of September 30, 2026 and December 31, 2025: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September 30,</w:t>
            </w:r>
          </w:p>
        </w:tc>
        <w:tc>
          <w:tcPr>
            <w:tcW w:w="200" w:type="dxa"/>
            <w:vAlign w:val="bottom"/>
          </w:tcPr>
          <w:p>
            <w:pPr>
              <w:spacing w:after="0"/>
              <w:rPr>
                <w:sz w:val="22"/>
                <w:szCs w:val="22"/>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r>
      <w:tr>
        <w:trPr>
          <w:trHeight w:val="262"/>
        </w:trPr>
        <w:tc>
          <w:tcPr>
            <w:tcW w:w="7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r>
      <w:tr>
        <w:trPr>
          <w:trHeight w:val="290"/>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4"/>
          </w:tcPr>
          <w:p>
            <w:pPr>
              <w:jc w:val="right"/>
              <w:ind w:right="1121"/>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2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Restricted 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132,767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138,823</w:t>
            </w:r>
          </w:p>
        </w:tc>
      </w:tr>
      <w:tr>
        <w:trPr>
          <w:trHeight w:val="257"/>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458,509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675,302</w:t>
            </w:r>
          </w:p>
        </w:tc>
      </w:tr>
      <w:tr>
        <w:trPr>
          <w:trHeight w:val="25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Equity securities</w:t>
            </w:r>
          </w:p>
        </w:tc>
        <w:tc>
          <w:tcPr>
            <w:tcW w:w="2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34,871</w:t>
            </w:r>
          </w:p>
        </w:tc>
      </w:tr>
      <w:tr>
        <w:trPr>
          <w:trHeight w:val="250"/>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restricted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591,276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848,996</w:t>
            </w:r>
          </w:p>
        </w:tc>
      </w:tr>
      <w:tr>
        <w:trPr>
          <w:trHeight w:val="21"/>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The decrease in restricted assets since December 31, 2025 is primarily attributable to a reduction in the assets required to be held in trust by Hagerty Re for the benefit of Essentia under the Markel Fronting Arrangement. Refer to Note 20 — Related-Party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Variable Interest Entities</w:t>
      </w:r>
    </w:p>
    <w:p>
      <w:pPr>
        <w:spacing w:after="0" w:line="220"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BAC and certain of its subsidiaries transfer notes receivable to wholly owned, bankruptcy-remote, special purpose entities (each, an "SPE") to secure borrowings under the BAC Credit Agreement (as defined in Note 14 — Debt).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SPEs are considered to be variable interest entities (each, a "VIE") under GAAP and their financial statements are consolidated by</w:t>
      </w:r>
    </w:p>
    <w:p>
      <w:pPr>
        <w:ind w:right="120"/>
        <w:spacing w:after="0" w:line="215" w:lineRule="auto"/>
        <w:rPr>
          <w:sz w:val="20"/>
          <w:szCs w:val="20"/>
          <w:color w:val="auto"/>
        </w:rPr>
      </w:pPr>
      <w:r>
        <w:rPr>
          <w:rFonts w:ascii="Times New Roman" w:cs="Times New Roman" w:eastAsia="Times New Roman" w:hAnsi="Times New Roman"/>
          <w:sz w:val="19"/>
          <w:szCs w:val="19"/>
          <w:color w:val="auto"/>
        </w:rPr>
        <w:t>BAC, which is the primary beneficiary of the SPEs and also a consolidated subsidiary of the Company. BAC is considered to be the primary beneficiary of the SPEs because it has (i) power over the significant activities of the SPEs through its role as servicer of the notes receivable</w:t>
      </w:r>
    </w:p>
    <w:p>
      <w:pPr>
        <w:ind w:right="120"/>
        <w:spacing w:after="0" w:line="228" w:lineRule="auto"/>
        <w:rPr>
          <w:sz w:val="20"/>
          <w:szCs w:val="20"/>
          <w:color w:val="auto"/>
        </w:rPr>
      </w:pPr>
      <w:r>
        <w:rPr>
          <w:rFonts w:ascii="Times New Roman" w:cs="Times New Roman" w:eastAsia="Times New Roman" w:hAnsi="Times New Roman"/>
          <w:sz w:val="20"/>
          <w:szCs w:val="20"/>
          <w:color w:val="auto"/>
        </w:rPr>
        <w:t>used to secure borrowings under the BAC Credit Agreement; and (ii) the obligation to absorb losses or the right to receive returns that could be significant through its interest in the residual cash flows of the SPEs.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8 — Notes Receivable and Note 14 — Debt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assets and liabilities of the Company's consolidated VIEs as of September 30, 2026 and December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September 30,</w:t>
            </w:r>
          </w:p>
        </w:tc>
        <w:tc>
          <w:tcPr>
            <w:tcW w:w="200" w:type="dxa"/>
            <w:vAlign w:val="bottom"/>
          </w:tcPr>
          <w:p>
            <w:pPr>
              <w:spacing w:after="0"/>
              <w:rPr>
                <w:sz w:val="22"/>
                <w:szCs w:val="22"/>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62"/>
        </w:trPr>
        <w:tc>
          <w:tcPr>
            <w:tcW w:w="7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91"/>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3260" w:type="dxa"/>
            <w:vAlign w:val="bottom"/>
            <w:gridSpan w:val="4"/>
          </w:tcPr>
          <w:p>
            <w:pPr>
              <w:jc w:val="right"/>
              <w:ind w:right="1121"/>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0" w:type="dxa"/>
            <w:vAlign w:val="bottom"/>
          </w:tcPr>
          <w:p>
            <w:pPr>
              <w:spacing w:after="0"/>
              <w:rPr>
                <w:sz w:val="1"/>
                <w:szCs w:val="1"/>
                <w:color w:val="auto"/>
              </w:rPr>
            </w:pPr>
          </w:p>
        </w:tc>
      </w:tr>
      <w:tr>
        <w:trPr>
          <w:trHeight w:val="26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0" w:type="dxa"/>
            <w:vAlign w:val="bottom"/>
          </w:tcPr>
          <w:p>
            <w:pPr>
              <w:spacing w:after="0"/>
              <w:rPr>
                <w:sz w:val="1"/>
                <w:szCs w:val="1"/>
                <w:color w:val="auto"/>
              </w:rPr>
            </w:pPr>
          </w:p>
        </w:tc>
      </w:tr>
      <w:tr>
        <w:trPr>
          <w:trHeight w:val="256"/>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Restricted cash and cash equivalents</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17,005</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Notes receivable</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134,267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81,740</w:t>
            </w: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Other assets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1,748</w:t>
            </w: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147,736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101,190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0" w:type="dxa"/>
            <w:vAlign w:val="bottom"/>
          </w:tcPr>
          <w:p>
            <w:pPr>
              <w:spacing w:after="0"/>
              <w:rPr>
                <w:sz w:val="1"/>
                <w:szCs w:val="1"/>
                <w:color w:val="auto"/>
              </w:rPr>
            </w:pPr>
          </w:p>
        </w:tc>
      </w:tr>
      <w:tr>
        <w:trPr>
          <w:trHeight w:val="257"/>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Debt, net</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68,423</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1,658</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103,602</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70,605</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Cash Flow Information</w:t>
      </w:r>
    </w:p>
    <w:p>
      <w:pPr>
        <w:spacing w:after="0" w:line="220"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color w:val="auto"/>
        </w:rPr>
        <w:t>The table below presents information regarding the Company's non-cash investing and financing activities, as well as the cash paid for interest and taxes for the nine months ended September 30, 2026 and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60" w:type="dxa"/>
            <w:vAlign w:val="bottom"/>
            <w:tcBorders>
              <w:bottom w:val="single" w:sz="8" w:color="auto"/>
            </w:tcBorders>
            <w:gridSpan w:val="5"/>
          </w:tcPr>
          <w:p>
            <w:pPr>
              <w:jc w:val="right"/>
              <w:ind w:right="261"/>
              <w:spacing w:after="0"/>
              <w:rPr>
                <w:sz w:val="20"/>
                <w:szCs w:val="20"/>
                <w:color w:val="auto"/>
              </w:rPr>
            </w:pPr>
            <w:r>
              <w:rPr>
                <w:rFonts w:ascii="Times New Roman" w:cs="Times New Roman" w:eastAsia="Times New Roman" w:hAnsi="Times New Roman"/>
                <w:sz w:val="20"/>
                <w:szCs w:val="20"/>
                <w:color w:val="auto"/>
              </w:rPr>
              <w:t>Nine months ended September 30,</w:t>
            </w:r>
          </w:p>
        </w:tc>
        <w:tc>
          <w:tcPr>
            <w:tcW w:w="0" w:type="dxa"/>
            <w:vAlign w:val="bottom"/>
          </w:tcPr>
          <w:p>
            <w:pPr>
              <w:spacing w:after="0"/>
              <w:rPr>
                <w:sz w:val="1"/>
                <w:szCs w:val="1"/>
                <w:color w:val="auto"/>
              </w:rPr>
            </w:pPr>
          </w:p>
        </w:tc>
      </w:tr>
      <w:tr>
        <w:trPr>
          <w:trHeight w:val="254"/>
        </w:trPr>
        <w:tc>
          <w:tcPr>
            <w:tcW w:w="6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6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8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Non-cash investing activities:</w:t>
            </w:r>
          </w:p>
        </w:tc>
        <w:tc>
          <w:tcPr>
            <w:tcW w:w="10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780" w:type="dxa"/>
            <w:vAlign w:val="bottom"/>
            <w:gridSpan w:val="2"/>
            <w:shd w:val="clear" w:color="auto" w:fill="CCEEFF"/>
          </w:tcPr>
          <w:p>
            <w:pPr>
              <w:ind w:left="140"/>
              <w:spacing w:after="0" w:line="260" w:lineRule="exact"/>
              <w:rPr>
                <w:sz w:val="20"/>
                <w:szCs w:val="20"/>
                <w:color w:val="auto"/>
              </w:rPr>
            </w:pPr>
            <w:r>
              <w:rPr>
                <w:rFonts w:ascii="Times New Roman" w:cs="Times New Roman" w:eastAsia="Times New Roman" w:hAnsi="Times New Roman"/>
                <w:sz w:val="20"/>
                <w:szCs w:val="20"/>
                <w:color w:val="auto"/>
              </w:rPr>
              <w:t xml:space="preserve">Issuance of notes receivable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17,439</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10,105</w:t>
            </w:r>
          </w:p>
        </w:tc>
        <w:tc>
          <w:tcPr>
            <w:tcW w:w="0" w:type="dxa"/>
            <w:vAlign w:val="bottom"/>
          </w:tcPr>
          <w:p>
            <w:pPr>
              <w:spacing w:after="0"/>
              <w:rPr>
                <w:sz w:val="1"/>
                <w:szCs w:val="1"/>
                <w:color w:val="auto"/>
              </w:rPr>
            </w:pPr>
          </w:p>
        </w:tc>
      </w:tr>
      <w:tr>
        <w:trPr>
          <w:trHeight w:val="256"/>
        </w:trPr>
        <w:tc>
          <w:tcPr>
            <w:tcW w:w="7780" w:type="dxa"/>
            <w:vAlign w:val="bottom"/>
            <w:gridSpan w:val="2"/>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Collection of notes receivable </w:t>
            </w:r>
            <w:r>
              <w:rPr>
                <w:rFonts w:ascii="Times New Roman" w:cs="Times New Roman" w:eastAsia="Times New Roman" w:hAnsi="Times New Roman"/>
                <w:sz w:val="25"/>
                <w:szCs w:val="25"/>
                <w:color w:val="auto"/>
                <w:vertAlign w:val="superscript"/>
              </w:rPr>
              <w:t>(1)</w:t>
            </w:r>
          </w:p>
        </w:tc>
        <w:tc>
          <w:tcPr>
            <w:tcW w:w="106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6,255</w:t>
            </w:r>
          </w:p>
        </w:tc>
        <w:tc>
          <w:tcPr>
            <w:tcW w:w="80" w:type="dxa"/>
            <w:vAlign w:val="bottom"/>
          </w:tcPr>
          <w:p>
            <w:pPr>
              <w:spacing w:after="0"/>
              <w:rPr>
                <w:sz w:val="22"/>
                <w:szCs w:val="22"/>
                <w:color w:val="auto"/>
              </w:rPr>
            </w:pP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w:t>
            </w:r>
          </w:p>
        </w:tc>
        <w:tc>
          <w:tcPr>
            <w:tcW w:w="0" w:type="dxa"/>
            <w:vAlign w:val="bottom"/>
          </w:tcPr>
          <w:p>
            <w:pPr>
              <w:spacing w:after="0"/>
              <w:rPr>
                <w:sz w:val="1"/>
                <w:szCs w:val="1"/>
                <w:color w:val="auto"/>
              </w:rPr>
            </w:pPr>
          </w:p>
        </w:tc>
      </w:tr>
      <w:tr>
        <w:trPr>
          <w:trHeight w:val="257"/>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Capital expenditures</w:t>
            </w:r>
          </w:p>
        </w:tc>
        <w:tc>
          <w:tcPr>
            <w:tcW w:w="106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Non-cash financing activities:</w:t>
            </w: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Exchange of THG units for shares of Class A Common Stock (Refer to Note 16)</w:t>
            </w:r>
          </w:p>
        </w:tc>
        <w:tc>
          <w:tcPr>
            <w:tcW w:w="106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35,280</w:t>
            </w:r>
          </w:p>
        </w:tc>
        <w:tc>
          <w:tcPr>
            <w:tcW w:w="80" w:type="dxa"/>
            <w:vAlign w:val="bottom"/>
          </w:tcPr>
          <w:p>
            <w:pPr>
              <w:spacing w:after="0"/>
              <w:rPr>
                <w:sz w:val="22"/>
                <w:szCs w:val="22"/>
                <w:color w:val="auto"/>
              </w:rPr>
            </w:pP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16,641</w:t>
            </w:r>
          </w:p>
        </w:tc>
        <w:tc>
          <w:tcPr>
            <w:tcW w:w="0" w:type="dxa"/>
            <w:vAlign w:val="bottom"/>
          </w:tcPr>
          <w:p>
            <w:pPr>
              <w:spacing w:after="0"/>
              <w:rPr>
                <w:sz w:val="1"/>
                <w:szCs w:val="1"/>
                <w:color w:val="auto"/>
              </w:rPr>
            </w:pPr>
          </w:p>
        </w:tc>
      </w:tr>
      <w:tr>
        <w:trPr>
          <w:trHeight w:val="193"/>
        </w:trPr>
        <w:tc>
          <w:tcPr>
            <w:tcW w:w="7780" w:type="dxa"/>
            <w:vAlign w:val="bottom"/>
            <w:gridSpan w:val="2"/>
            <w:shd w:val="clear" w:color="auto" w:fill="CCEEFF"/>
          </w:tcPr>
          <w:p>
            <w:pPr>
              <w:ind w:left="140"/>
              <w:spacing w:after="0" w:line="193" w:lineRule="exact"/>
              <w:rPr>
                <w:sz w:val="20"/>
                <w:szCs w:val="20"/>
                <w:color w:val="auto"/>
              </w:rPr>
            </w:pPr>
            <w:r>
              <w:rPr>
                <w:rFonts w:ascii="Times New Roman" w:cs="Times New Roman" w:eastAsia="Times New Roman" w:hAnsi="Times New Roman"/>
                <w:sz w:val="20"/>
                <w:szCs w:val="20"/>
                <w:color w:val="auto"/>
              </w:rPr>
              <w:t>Deferred tax assets and TRA liabilities recorded upon exchange of THG units for shares of</w:t>
            </w:r>
          </w:p>
        </w:tc>
        <w:tc>
          <w:tcPr>
            <w:tcW w:w="1060" w:type="dxa"/>
            <w:vAlign w:val="bottom"/>
            <w:vMerge w:val="restart"/>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1,318</w:t>
            </w:r>
          </w:p>
        </w:tc>
        <w:tc>
          <w:tcPr>
            <w:tcW w:w="0" w:type="dxa"/>
            <w:vAlign w:val="bottom"/>
          </w:tcPr>
          <w:p>
            <w:pPr>
              <w:spacing w:after="0"/>
              <w:rPr>
                <w:sz w:val="1"/>
                <w:szCs w:val="1"/>
                <w:color w:val="auto"/>
              </w:rPr>
            </w:pPr>
          </w:p>
        </w:tc>
      </w:tr>
      <w:tr>
        <w:trPr>
          <w:trHeight w:val="252"/>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Class A Common Stock (Refer to Note 19)</w:t>
            </w:r>
          </w:p>
        </w:tc>
        <w:tc>
          <w:tcPr>
            <w:tcW w:w="106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780" w:type="dxa"/>
            <w:vAlign w:val="bottom"/>
            <w:gridSpan w:val="2"/>
          </w:tcPr>
          <w:p>
            <w:pPr>
              <w:ind w:left="140"/>
              <w:spacing w:after="0" w:line="193" w:lineRule="exact"/>
              <w:rPr>
                <w:sz w:val="20"/>
                <w:szCs w:val="20"/>
                <w:color w:val="auto"/>
              </w:rPr>
            </w:pPr>
            <w:r>
              <w:rPr>
                <w:rFonts w:ascii="Times New Roman" w:cs="Times New Roman" w:eastAsia="Times New Roman" w:hAnsi="Times New Roman"/>
                <w:sz w:val="20"/>
                <w:szCs w:val="20"/>
                <w:color w:val="auto"/>
                <w:w w:val="98"/>
              </w:rPr>
              <w:t>Issuance of shares of Class A Common Stock resulting from the vesting of RSUs (Refer to Note</w:t>
            </w:r>
          </w:p>
        </w:tc>
        <w:tc>
          <w:tcPr>
            <w:tcW w:w="1060" w:type="dxa"/>
            <w:vAlign w:val="bottom"/>
            <w:vMerge w:val="restart"/>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8"/>
              </w:rPr>
              <w:t>12,575</w:t>
            </w:r>
          </w:p>
        </w:tc>
        <w:tc>
          <w:tcPr>
            <w:tcW w:w="80" w:type="dxa"/>
            <w:vAlign w:val="bottom"/>
          </w:tcPr>
          <w:p>
            <w:pPr>
              <w:spacing w:after="0"/>
              <w:rPr>
                <w:sz w:val="16"/>
                <w:szCs w:val="16"/>
                <w:color w:val="auto"/>
              </w:rPr>
            </w:pPr>
          </w:p>
        </w:tc>
        <w:tc>
          <w:tcPr>
            <w:tcW w:w="54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11,241</w:t>
            </w:r>
          </w:p>
        </w:tc>
        <w:tc>
          <w:tcPr>
            <w:tcW w:w="0" w:type="dxa"/>
            <w:vAlign w:val="bottom"/>
          </w:tcPr>
          <w:p>
            <w:pPr>
              <w:spacing w:after="0"/>
              <w:rPr>
                <w:sz w:val="1"/>
                <w:szCs w:val="1"/>
                <w:color w:val="auto"/>
              </w:rPr>
            </w:pPr>
          </w:p>
        </w:tc>
      </w:tr>
      <w:tr>
        <w:trPr>
          <w:trHeight w:val="252"/>
        </w:trPr>
        <w:tc>
          <w:tcPr>
            <w:tcW w:w="6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17)</w:t>
            </w:r>
          </w:p>
        </w:tc>
        <w:tc>
          <w:tcPr>
            <w:tcW w:w="16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Cash paid for interest</w:t>
            </w:r>
          </w:p>
        </w:tc>
        <w:tc>
          <w:tcPr>
            <w:tcW w:w="106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w:t>
            </w:r>
          </w:p>
        </w:tc>
        <w:tc>
          <w:tcPr>
            <w:tcW w:w="80" w:type="dxa"/>
            <w:vAlign w:val="bottom"/>
          </w:tcPr>
          <w:p>
            <w:pPr>
              <w:spacing w:after="0"/>
              <w:rPr>
                <w:sz w:val="22"/>
                <w:szCs w:val="22"/>
                <w:color w:val="auto"/>
              </w:rPr>
            </w:pP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7,360</w:t>
            </w:r>
          </w:p>
        </w:tc>
        <w:tc>
          <w:tcPr>
            <w:tcW w:w="0" w:type="dxa"/>
            <w:vAlign w:val="bottom"/>
          </w:tcPr>
          <w:p>
            <w:pPr>
              <w:spacing w:after="0"/>
              <w:rPr>
                <w:sz w:val="1"/>
                <w:szCs w:val="1"/>
                <w:color w:val="auto"/>
              </w:rPr>
            </w:pPr>
          </w:p>
        </w:tc>
      </w:tr>
      <w:tr>
        <w:trPr>
          <w:trHeight w:val="25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106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23,750</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12,410</w:t>
            </w:r>
          </w:p>
        </w:tc>
        <w:tc>
          <w:tcPr>
            <w:tcW w:w="0" w:type="dxa"/>
            <w:vAlign w:val="bottom"/>
          </w:tcPr>
          <w:p>
            <w:pPr>
              <w:spacing w:after="0"/>
              <w:rPr>
                <w:sz w:val="1"/>
                <w:szCs w:val="1"/>
                <w:color w:val="auto"/>
              </w:rPr>
            </w:pPr>
          </w:p>
        </w:tc>
      </w:tr>
      <w:tr>
        <w:trPr>
          <w:trHeight w:val="54"/>
        </w:trPr>
        <w:tc>
          <w:tcPr>
            <w:tcW w:w="6120" w:type="dxa"/>
            <w:vAlign w:val="bottom"/>
            <w:tcBorders>
              <w:bottom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20" w:hanging="250"/>
        <w:spacing w:after="0" w:line="196" w:lineRule="auto"/>
        <w:tabs>
          <w:tab w:leader="none" w:pos="455"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certain situations, BAC makes loans to refinance accounts receivable balances generated by Broad Arrow Group, Inc. ("Broad Arrow") auctions and private sales. These loans are accounted for on the Condensed Consolidated Balance Sheets as non-cash reclassifications between "Accounts receivable" and "Notes receivable" and are not presented within Investing Activities in the Company's Condensed Consolidated Statements of Cash Flows. Upon repayment, the cash received in settlement of such loans is classified within Operating Activities in the Company's Condensed Consolidated Statements of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 Segment Reporting and Disaggregated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220" w:lineRule="exact"/>
        <w:rPr>
          <w:sz w:val="20"/>
          <w:szCs w:val="20"/>
          <w:color w:val="auto"/>
        </w:rPr>
      </w:pPr>
    </w:p>
    <w:p>
      <w:pPr>
        <w:jc w:val="both"/>
        <w:ind w:right="160"/>
        <w:spacing w:after="0" w:line="227" w:lineRule="auto"/>
        <w:rPr>
          <w:sz w:val="20"/>
          <w:szCs w:val="20"/>
          <w:color w:val="auto"/>
        </w:rPr>
      </w:pPr>
      <w:r>
        <w:rPr>
          <w:rFonts w:ascii="Times New Roman" w:cs="Times New Roman" w:eastAsia="Times New Roman" w:hAnsi="Times New Roman"/>
          <w:sz w:val="19"/>
          <w:szCs w:val="19"/>
          <w:color w:val="auto"/>
        </w:rPr>
        <w:t>Due to the continued revenue growth and recent geographic expansion of Hagerty's marketplace business, beginning in the fourth quarter of 2025, the Company updated its segment reporting to reflect two operating and reportable segments: Insurance and Marketplace. Previously,</w:t>
      </w:r>
    </w:p>
    <w:p>
      <w:pPr>
        <w:ind w:right="460"/>
        <w:spacing w:after="0" w:line="228" w:lineRule="auto"/>
        <w:rPr>
          <w:sz w:val="20"/>
          <w:szCs w:val="20"/>
          <w:color w:val="auto"/>
        </w:rPr>
      </w:pPr>
      <w:r>
        <w:rPr>
          <w:rFonts w:ascii="Times New Roman" w:cs="Times New Roman" w:eastAsia="Times New Roman" w:hAnsi="Times New Roman"/>
          <w:sz w:val="20"/>
          <w:szCs w:val="20"/>
          <w:color w:val="auto"/>
        </w:rPr>
        <w:t>the Company operated as a single operating and reportable segment. Prior period segment information has been recast to conform to the current presentation in this Quarterly Report.</w:t>
      </w:r>
    </w:p>
    <w:p>
      <w:pPr>
        <w:spacing w:after="0" w:line="176"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0"/>
          <w:szCs w:val="20"/>
          <w:color w:val="auto"/>
        </w:rPr>
        <w:t>The Insurance segment principally includes the Company's reinsurance and MGA operations, as well as its membership, events and media activities which support and enhance its insurance offerings. The Marketplace segment offers a trusted marketplace where automotive enthusiasts can buy, sell, and finance collector cars.</w:t>
      </w:r>
    </w:p>
    <w:p>
      <w:pPr>
        <w:sectPr>
          <w:pgSz w:w="11900" w:h="16838" w:orient="portrait"/>
          <w:cols w:equalWidth="0" w:num="1">
            <w:col w:w="11240"/>
          </w:cols>
          <w:pgMar w:left="320" w:top="238"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Chief Executive Officer ("CEO") and Chairman of its Board of Directors (the "Board") acts as the Chief Operating Decision</w:t>
      </w:r>
    </w:p>
    <w:p>
      <w:pPr>
        <w:spacing w:after="0" w:line="6"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20"/>
          <w:szCs w:val="20"/>
          <w:color w:val="auto"/>
        </w:rPr>
        <w:t>Maker ("CODM"). The CODM evaluates performance and makes resource allocation decisions about the Company's reportable segments using a number of measures, including income before taxes, which is the Company's measure of segment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CODM regularly receives information about the significant expenses of each reportable segment, including (i) Losses and loss</w:t>
      </w:r>
    </w:p>
    <w:p>
      <w:pPr>
        <w:ind w:right="400"/>
        <w:spacing w:after="0" w:line="215" w:lineRule="auto"/>
        <w:rPr>
          <w:sz w:val="20"/>
          <w:szCs w:val="20"/>
          <w:color w:val="auto"/>
        </w:rPr>
      </w:pPr>
      <w:r>
        <w:rPr>
          <w:rFonts w:ascii="Times New Roman" w:cs="Times New Roman" w:eastAsia="Times New Roman" w:hAnsi="Times New Roman"/>
          <w:sz w:val="19"/>
          <w:szCs w:val="19"/>
          <w:color w:val="auto"/>
        </w:rPr>
        <w:t>adjustment expenses, net; (ii) Policy acquisition costs, net; (iii) Underwriting and other insurance expenses; (iv) Selling, general, and administrative expenses; and (v) Interest expense and other, net. These expenses are not regularly used by the CODM on a disaggregated</w:t>
      </w:r>
    </w:p>
    <w:p>
      <w:pPr>
        <w:spacing w:after="0" w:line="222" w:lineRule="auto"/>
        <w:rPr>
          <w:sz w:val="20"/>
          <w:szCs w:val="20"/>
          <w:color w:val="auto"/>
        </w:rPr>
      </w:pPr>
      <w:r>
        <w:rPr>
          <w:rFonts w:ascii="Times New Roman" w:cs="Times New Roman" w:eastAsia="Times New Roman" w:hAnsi="Times New Roman"/>
          <w:sz w:val="19"/>
          <w:szCs w:val="19"/>
          <w:color w:val="auto"/>
        </w:rPr>
        <w:t>basis for purposes of evaluating segment profitability. The Company does not report total assets by segment for internal or external reporting</w:t>
      </w:r>
    </w:p>
    <w:p>
      <w:pPr>
        <w:ind w:right="460"/>
        <w:spacing w:after="0" w:line="221" w:lineRule="auto"/>
        <w:rPr>
          <w:sz w:val="20"/>
          <w:szCs w:val="20"/>
          <w:color w:val="auto"/>
        </w:rPr>
      </w:pPr>
      <w:r>
        <w:rPr>
          <w:rFonts w:ascii="Times New Roman" w:cs="Times New Roman" w:eastAsia="Times New Roman" w:hAnsi="Times New Roman"/>
          <w:sz w:val="20"/>
          <w:szCs w:val="20"/>
          <w:color w:val="auto"/>
        </w:rPr>
        <w:t>purposes as the Company's CODM does not receive segment balance sheets or assess performance, make strategic decisions, or allocate resources based on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(loss) before taxes for each segment includes an allocation of attributable shared service expenses. Certain corporate expenses are</w:t>
      </w:r>
    </w:p>
    <w:p>
      <w:pPr>
        <w:ind w:right="60"/>
        <w:spacing w:after="0" w:line="233" w:lineRule="auto"/>
        <w:rPr>
          <w:sz w:val="20"/>
          <w:szCs w:val="20"/>
          <w:color w:val="auto"/>
        </w:rPr>
      </w:pPr>
      <w:r>
        <w:rPr>
          <w:rFonts w:ascii="Times New Roman" w:cs="Times New Roman" w:eastAsia="Times New Roman" w:hAnsi="Times New Roman"/>
          <w:sz w:val="19"/>
          <w:szCs w:val="19"/>
          <w:color w:val="auto"/>
        </w:rPr>
        <w:t>excluded from segment income (loss) before taxes as they are not attributable to the operations of the reportable segments. These unallocated expenses are included in the reconciliation of total segment income (loss) before taxes to consolidated income before taxes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tables below present the Company's segment information for the three and nine months ended September 30, 2026 and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92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20"/>
                <w:szCs w:val="20"/>
                <w:color w:val="auto"/>
                <w:w w:val="99"/>
              </w:rPr>
              <w:t>Three months ended September 30, 2026</w:t>
            </w:r>
          </w:p>
        </w:tc>
      </w:tr>
      <w:tr>
        <w:trPr>
          <w:trHeight w:val="254"/>
        </w:trPr>
        <w:tc>
          <w:tcPr>
            <w:tcW w:w="4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center"/>
              <w:ind w:right="561"/>
              <w:spacing w:after="0"/>
              <w:rPr>
                <w:sz w:val="20"/>
                <w:szCs w:val="20"/>
                <w:color w:val="auto"/>
              </w:rPr>
            </w:pPr>
            <w:r>
              <w:rPr>
                <w:rFonts w:ascii="Times New Roman" w:cs="Times New Roman" w:eastAsia="Times New Roman" w:hAnsi="Times New Roman"/>
                <w:sz w:val="20"/>
                <w:szCs w:val="20"/>
                <w:i w:val="1"/>
                <w:iCs w:val="1"/>
                <w:color w:val="auto"/>
                <w:w w:val="99"/>
              </w:rPr>
              <w:t>(in thousands)</w:t>
            </w:r>
          </w:p>
        </w:tc>
        <w:tc>
          <w:tcPr>
            <w:tcW w:w="1300" w:type="dxa"/>
            <w:vAlign w:val="bottom"/>
          </w:tcPr>
          <w:p>
            <w:pPr>
              <w:spacing w:after="0"/>
              <w:rPr>
                <w:sz w:val="24"/>
                <w:szCs w:val="24"/>
                <w:color w:val="auto"/>
              </w:rPr>
            </w:pPr>
          </w:p>
        </w:tc>
      </w:tr>
      <w:tr>
        <w:trPr>
          <w:trHeight w:val="260"/>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265,113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265,113</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21,586</w:t>
            </w: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Marketplace revenue</w:t>
            </w:r>
          </w:p>
        </w:tc>
        <w:tc>
          <w:tcPr>
            <w:tcW w:w="3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32,164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32,164</w:t>
            </w:r>
          </w:p>
        </w:tc>
      </w:tr>
      <w:tr>
        <w:trPr>
          <w:trHeight w:val="256"/>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Membership and other revenue</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21,908</w:t>
            </w: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12,284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12,720</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r>
      <w:tr>
        <w:trPr>
          <w:trHeight w:val="250"/>
        </w:trPr>
        <w:tc>
          <w:tcPr>
            <w:tcW w:w="602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321,642</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32,600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354,242</w:t>
            </w:r>
          </w:p>
        </w:tc>
      </w:tr>
      <w:tr>
        <w:trPr>
          <w:trHeight w:val="23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90,261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6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90,261</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62,214</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66,716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6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66,716</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54,575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89,239</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(521)</w:t>
            </w:r>
          </w:p>
        </w:tc>
      </w:tr>
      <w:tr>
        <w:trPr>
          <w:trHeight w:val="250"/>
        </w:trPr>
        <w:tc>
          <w:tcPr>
            <w:tcW w:w="60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20"/>
                <w:szCs w:val="20"/>
                <w:color w:val="auto"/>
              </w:rPr>
              <w:t>Total segment expenses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272,759</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35,150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307,909</w:t>
            </w:r>
          </w:p>
        </w:tc>
      </w:tr>
      <w:tr>
        <w:trPr>
          <w:trHeight w:val="25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Segment income (loss) before taxes</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48,883</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46,333</w:t>
            </w:r>
          </w:p>
        </w:tc>
      </w:tr>
      <w:tr>
        <w:trPr>
          <w:trHeight w:val="250"/>
        </w:trPr>
        <w:tc>
          <w:tcPr>
            <w:tcW w:w="6020" w:type="dxa"/>
            <w:vAlign w:val="bottom"/>
            <w:gridSpan w:val="2"/>
          </w:tcPr>
          <w:p>
            <w:pPr>
              <w:ind w:left="140"/>
              <w:spacing w:after="0" w:line="250" w:lineRule="exact"/>
              <w:rPr>
                <w:sz w:val="20"/>
                <w:szCs w:val="20"/>
                <w:color w:val="auto"/>
              </w:rPr>
            </w:pPr>
            <w:r>
              <w:rPr>
                <w:rFonts w:ascii="Times New Roman" w:cs="Times New Roman" w:eastAsia="Times New Roman" w:hAnsi="Times New Roman"/>
                <w:sz w:val="20"/>
                <w:szCs w:val="20"/>
                <w:color w:val="auto"/>
              </w:rPr>
              <w:t xml:space="preserve">Corporate expenses and other unallocated amounts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(3,527)</w:t>
            </w: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(1,407)</w:t>
            </w:r>
          </w:p>
        </w:tc>
      </w:tr>
      <w:tr>
        <w:trPr>
          <w:trHeight w:val="250"/>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Income before taxes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41,399</w:t>
            </w:r>
          </w:p>
        </w:tc>
      </w:tr>
      <w:tr>
        <w:trPr>
          <w:trHeight w:val="20"/>
        </w:trPr>
        <w:tc>
          <w:tcPr>
            <w:tcW w:w="4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54" w:lineRule="exact"/>
        <w:rPr>
          <w:sz w:val="20"/>
          <w:szCs w:val="20"/>
          <w:color w:val="auto"/>
        </w:rPr>
      </w:pPr>
    </w:p>
    <w:p>
      <w:pPr>
        <w:ind w:left="420" w:right="80" w:hanging="250"/>
        <w:spacing w:after="0" w:line="191" w:lineRule="auto"/>
        <w:tabs>
          <w:tab w:leader="none" w:pos="455"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Other unallocated amounts includes a loss related to the write-down of certain fixed assets classified as held-for-sale (refer to Note 1 — Description of Business) and the impairment of a right-of-use asset not attributable to segment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92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20"/>
                <w:szCs w:val="20"/>
                <w:color w:val="auto"/>
                <w:w w:val="99"/>
              </w:rPr>
              <w:t>Three months ended September 30, 2025</w:t>
            </w:r>
          </w:p>
        </w:tc>
      </w:tr>
      <w:tr>
        <w:trPr>
          <w:trHeight w:val="254"/>
        </w:trPr>
        <w:tc>
          <w:tcPr>
            <w:tcW w:w="4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i w:val="1"/>
                <w:iCs w:val="1"/>
                <w:color w:val="auto"/>
                <w:w w:val="99"/>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187,039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187,039</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137,103</w:t>
            </w: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Marketplace revenue</w:t>
            </w:r>
          </w:p>
        </w:tc>
        <w:tc>
          <w:tcPr>
            <w:tcW w:w="3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34,356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34,356</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Membership and other revenue</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21,496</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9,860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10,152</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w:t>
            </w:r>
          </w:p>
        </w:tc>
      </w:tr>
      <w:tr>
        <w:trPr>
          <w:trHeight w:val="250"/>
        </w:trPr>
        <w:tc>
          <w:tcPr>
            <w:tcW w:w="602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356,769</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34,648</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391,417</w:t>
            </w:r>
          </w:p>
        </w:tc>
      </w:tr>
      <w:tr>
        <w:trPr>
          <w:trHeight w:val="23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78,626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78,626</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87,411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87,411</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1,500</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176,934</w:t>
            </w: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1,703</w:t>
            </w:r>
          </w:p>
        </w:tc>
      </w:tr>
      <w:tr>
        <w:trPr>
          <w:trHeight w:val="250"/>
        </w:trPr>
        <w:tc>
          <w:tcPr>
            <w:tcW w:w="60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20"/>
                <w:szCs w:val="20"/>
                <w:color w:val="auto"/>
              </w:rPr>
              <w:t>Total segment expenses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305,971</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40,203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346,174</w:t>
            </w:r>
          </w:p>
        </w:tc>
      </w:tr>
      <w:tr>
        <w:trPr>
          <w:trHeight w:val="25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Segment income (loss) before taxes</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50,798</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45,243</w:t>
            </w:r>
          </w:p>
        </w:tc>
      </w:tr>
      <w:tr>
        <w:trPr>
          <w:trHeight w:val="250"/>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Corporate expenses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w:t>
            </w: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(1,503)</w:t>
            </w:r>
          </w:p>
        </w:tc>
      </w:tr>
      <w:tr>
        <w:trPr>
          <w:trHeight w:val="256"/>
        </w:trPr>
        <w:tc>
          <w:tcPr>
            <w:tcW w:w="6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0"/>
                <w:szCs w:val="20"/>
                <w:color w:val="auto"/>
              </w:rPr>
              <w:t>Expense related to TRA Liability</w:t>
            </w:r>
          </w:p>
        </w:tc>
        <w:tc>
          <w:tcPr>
            <w:tcW w:w="3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(29,197)</w:t>
            </w:r>
          </w:p>
        </w:tc>
      </w:tr>
      <w:tr>
        <w:trPr>
          <w:trHeight w:val="275"/>
        </w:trPr>
        <w:tc>
          <w:tcPr>
            <w:tcW w:w="60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Income before taxes</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13,337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1"/>
        </w:trPr>
        <w:tc>
          <w:tcPr>
            <w:tcW w:w="4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20"/>
                <w:szCs w:val="20"/>
                <w:color w:val="auto"/>
                <w:w w:val="99"/>
              </w:rPr>
              <w:t>Nine months ended September 30, 2026</w:t>
            </w:r>
          </w:p>
        </w:tc>
      </w:tr>
      <w:tr>
        <w:trPr>
          <w:trHeight w:val="254"/>
        </w:trPr>
        <w:tc>
          <w:tcPr>
            <w:tcW w:w="4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i w:val="1"/>
                <w:iCs w:val="1"/>
                <w:color w:val="auto"/>
                <w:w w:val="99"/>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756,711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756,711</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61,686</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Marketplace revenue</w:t>
            </w:r>
          </w:p>
        </w:tc>
        <w:tc>
          <w:tcPr>
            <w:tcW w:w="3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97,474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97,474</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Membership and other revenue</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65,396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65,396</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33,986</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5,641</w:t>
            </w:r>
          </w:p>
        </w:tc>
      </w:tr>
      <w:tr>
        <w:trPr>
          <w:trHeight w:val="250"/>
        </w:trPr>
        <w:tc>
          <w:tcPr>
            <w:tcW w:w="602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922,463</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98,431</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1,020,894</w:t>
            </w:r>
          </w:p>
        </w:tc>
      </w:tr>
      <w:tr>
        <w:trPr>
          <w:trHeight w:val="23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298,889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298,889</w:t>
            </w:r>
          </w:p>
        </w:tc>
      </w:tr>
      <w:tr>
        <w:trPr>
          <w:trHeight w:val="256"/>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247,777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247,777</w:t>
            </w:r>
          </w:p>
        </w:tc>
      </w:tr>
      <w:tr>
        <w:trPr>
          <w:trHeight w:val="257"/>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189,251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189,251</w:t>
            </w:r>
          </w:p>
        </w:tc>
      </w:tr>
      <w:tr>
        <w:trPr>
          <w:trHeight w:val="257"/>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157,372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98,920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256,292</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(1,903)</w:t>
            </w:r>
          </w:p>
        </w:tc>
      </w:tr>
      <w:tr>
        <w:trPr>
          <w:trHeight w:val="250"/>
        </w:trPr>
        <w:tc>
          <w:tcPr>
            <w:tcW w:w="60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20"/>
                <w:szCs w:val="20"/>
                <w:color w:val="auto"/>
              </w:rPr>
              <w:t>Total segment expenses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891,163</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99,143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990,306</w:t>
            </w:r>
          </w:p>
        </w:tc>
      </w:tr>
      <w:tr>
        <w:trPr>
          <w:trHeight w:val="25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Segment income (loss) before taxes</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31,300</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30,588</w:t>
            </w:r>
          </w:p>
        </w:tc>
      </w:tr>
      <w:tr>
        <w:trPr>
          <w:trHeight w:val="250"/>
        </w:trPr>
        <w:tc>
          <w:tcPr>
            <w:tcW w:w="6020" w:type="dxa"/>
            <w:vAlign w:val="bottom"/>
            <w:gridSpan w:val="2"/>
          </w:tcPr>
          <w:p>
            <w:pPr>
              <w:ind w:left="140"/>
              <w:spacing w:after="0" w:line="250" w:lineRule="exact"/>
              <w:rPr>
                <w:sz w:val="20"/>
                <w:szCs w:val="20"/>
                <w:color w:val="auto"/>
              </w:rPr>
            </w:pPr>
            <w:r>
              <w:rPr>
                <w:rFonts w:ascii="Times New Roman" w:cs="Times New Roman" w:eastAsia="Times New Roman" w:hAnsi="Times New Roman"/>
                <w:sz w:val="20"/>
                <w:szCs w:val="20"/>
                <w:color w:val="auto"/>
              </w:rPr>
              <w:t xml:space="preserve">Corporate expenses and other unallocated amounts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(4,155)</w:t>
            </w:r>
          </w:p>
        </w:tc>
      </w:tr>
      <w:tr>
        <w:trPr>
          <w:trHeight w:val="256"/>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(3,739)</w:t>
            </w:r>
          </w:p>
        </w:tc>
      </w:tr>
      <w:tr>
        <w:trPr>
          <w:trHeight w:val="250"/>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Income before taxes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22,694</w:t>
            </w:r>
          </w:p>
        </w:tc>
      </w:tr>
      <w:tr>
        <w:trPr>
          <w:trHeight w:val="20"/>
        </w:trPr>
        <w:tc>
          <w:tcPr>
            <w:tcW w:w="4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
        </w:trPr>
        <w:tc>
          <w:tcPr>
            <w:tcW w:w="43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54" w:lineRule="exact"/>
        <w:rPr>
          <w:sz w:val="20"/>
          <w:szCs w:val="20"/>
          <w:color w:val="auto"/>
        </w:rPr>
      </w:pPr>
    </w:p>
    <w:p>
      <w:pPr>
        <w:ind w:left="420" w:right="80" w:hanging="250"/>
        <w:spacing w:after="0" w:line="191" w:lineRule="auto"/>
        <w:tabs>
          <w:tab w:leader="none" w:pos="455"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Other unallocated amounts includes a loss related to the write-down of certain fixed assets classified as held-for-sale (refer to Note 1 — Description of Business) and the impairment of a right-of-use asset not attributable to segment operations.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940" w:type="dxa"/>
            <w:vAlign w:val="bottom"/>
            <w:tcBorders>
              <w:bottom w:val="single" w:sz="8" w:color="auto"/>
            </w:tcBorders>
            <w:gridSpan w:val="7"/>
          </w:tcPr>
          <w:p>
            <w:pPr>
              <w:jc w:val="center"/>
              <w:ind w:right="181"/>
              <w:spacing w:after="0"/>
              <w:rPr>
                <w:sz w:val="20"/>
                <w:szCs w:val="20"/>
                <w:color w:val="auto"/>
              </w:rPr>
            </w:pPr>
            <w:r>
              <w:rPr>
                <w:rFonts w:ascii="Times New Roman" w:cs="Times New Roman" w:eastAsia="Times New Roman" w:hAnsi="Times New Roman"/>
                <w:sz w:val="20"/>
                <w:szCs w:val="20"/>
                <w:color w:val="auto"/>
                <w:w w:val="99"/>
              </w:rPr>
              <w:t>Nine months ended September 30, 2025</w:t>
            </w:r>
          </w:p>
        </w:tc>
      </w:tr>
      <w:tr>
        <w:trPr>
          <w:trHeight w:val="254"/>
        </w:trPr>
        <w:tc>
          <w:tcPr>
            <w:tcW w:w="6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center"/>
              <w:ind w:right="561"/>
              <w:spacing w:after="0"/>
              <w:rPr>
                <w:sz w:val="20"/>
                <w:szCs w:val="20"/>
                <w:color w:val="auto"/>
              </w:rPr>
            </w:pPr>
            <w:r>
              <w:rPr>
                <w:rFonts w:ascii="Times New Roman" w:cs="Times New Roman" w:eastAsia="Times New Roman" w:hAnsi="Times New Roman"/>
                <w:sz w:val="20"/>
                <w:szCs w:val="20"/>
                <w:i w:val="1"/>
                <w:iCs w:val="1"/>
                <w:color w:val="auto"/>
                <w:w w:val="99"/>
              </w:rPr>
              <w:t>(in thousands)</w:t>
            </w:r>
          </w:p>
        </w:tc>
        <w:tc>
          <w:tcPr>
            <w:tcW w:w="1300" w:type="dxa"/>
            <w:vAlign w:val="bottom"/>
          </w:tcPr>
          <w:p>
            <w:pPr>
              <w:spacing w:after="0"/>
              <w:rPr>
                <w:sz w:val="24"/>
                <w:szCs w:val="24"/>
                <w:color w:val="auto"/>
              </w:rPr>
            </w:pPr>
          </w:p>
        </w:tc>
      </w:tr>
      <w:tr>
        <w:trPr>
          <w:trHeight w:val="26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534,179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6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534,179</w:t>
            </w: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380,677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380,677</w:t>
            </w:r>
          </w:p>
        </w:tc>
      </w:tr>
      <w:tr>
        <w:trPr>
          <w:trHeight w:val="25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Marketplace revenue</w:t>
            </w:r>
          </w:p>
        </w:tc>
        <w:tc>
          <w:tcPr>
            <w:tcW w:w="2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90,328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90,328</w:t>
            </w: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Membership and other revenue</w:t>
            </w: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63,102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63,102</w:t>
            </w:r>
          </w:p>
        </w:tc>
      </w:tr>
      <w:tr>
        <w:trPr>
          <w:trHeight w:val="25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28,030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28,626</w:t>
            </w: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w:t>
            </w:r>
          </w:p>
        </w:tc>
      </w:tr>
      <w:tr>
        <w:trPr>
          <w:trHeight w:val="250"/>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1,008,138</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90,924</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1,099,062</w:t>
            </w: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224,969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6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224,969</w:t>
            </w: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247,682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3"/>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247,682</w:t>
            </w:r>
          </w:p>
        </w:tc>
      </w:tr>
      <w:tr>
        <w:trPr>
          <w:trHeight w:val="25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6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4,079</w:t>
            </w: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384,942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96,571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481,513</w:t>
            </w:r>
          </w:p>
        </w:tc>
      </w:tr>
      <w:tr>
        <w:trPr>
          <w:trHeight w:val="25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2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2,383</w:t>
            </w:r>
          </w:p>
        </w:tc>
      </w:tr>
      <w:tr>
        <w:trPr>
          <w:trHeight w:val="25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Total segment expenses</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863,679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96,947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960,626</w:t>
            </w:r>
          </w:p>
        </w:tc>
      </w:tr>
      <w:tr>
        <w:trPr>
          <w:trHeight w:val="25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Segment income (loss) before taxes</w:t>
            </w:r>
          </w:p>
        </w:tc>
        <w:tc>
          <w:tcPr>
            <w:tcW w:w="2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144,459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(6,023)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138,436</w:t>
            </w:r>
          </w:p>
        </w:tc>
      </w:tr>
      <w:tr>
        <w:trPr>
          <w:trHeight w:val="250"/>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Corporate expenses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(2,299)</w:t>
            </w:r>
          </w:p>
        </w:tc>
      </w:tr>
      <w:tr>
        <w:trPr>
          <w:trHeight w:val="25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(4,380)</w:t>
            </w:r>
          </w:p>
        </w:tc>
      </w:tr>
      <w:tr>
        <w:trPr>
          <w:trHeight w:val="256"/>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Expense related to TRA Liability</w:t>
            </w:r>
          </w:p>
        </w:tc>
        <w:tc>
          <w:tcPr>
            <w:tcW w:w="2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(32,275)</w:t>
            </w:r>
          </w:p>
        </w:tc>
      </w:tr>
      <w:tr>
        <w:trPr>
          <w:trHeight w:val="275"/>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Income before taxes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99,482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202"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20"/>
          <w:szCs w:val="20"/>
          <w:color w:val="auto"/>
        </w:rPr>
        <w:t xml:space="preserve">The following tables present revenues from customer contracts that are recognized in accordance with ASC Topic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Contracts with Customers </w:t>
      </w:r>
      <w:r>
        <w:rPr>
          <w:rFonts w:ascii="Times New Roman" w:cs="Times New Roman" w:eastAsia="Times New Roman" w:hAnsi="Times New Roman"/>
          <w:sz w:val="20"/>
          <w:szCs w:val="20"/>
          <w:color w:val="auto"/>
        </w:rPr>
        <w:t>("ASC 606"), disaggregated by geographic area, as well as a reconciliation to total revenue for the three and nine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months ended September 30,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92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20"/>
                <w:szCs w:val="20"/>
                <w:color w:val="auto"/>
                <w:w w:val="99"/>
              </w:rPr>
              <w:t>Three months ended September 30, 2026</w:t>
            </w:r>
          </w:p>
        </w:tc>
      </w:tr>
      <w:tr>
        <w:trPr>
          <w:trHeight w:val="254"/>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30,885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27,695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58,580</w:t>
            </w:r>
          </w:p>
        </w:tc>
      </w:tr>
      <w:tr>
        <w:trPr>
          <w:trHeight w:val="25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12,609</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12,663</w:t>
            </w:r>
          </w:p>
        </w:tc>
      </w:tr>
      <w:tr>
        <w:trPr>
          <w:trHeight w:val="25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revenue from customer contracts</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43,494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27,749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71,243</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Earned premium, net</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265,113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265,113</w:t>
            </w: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12,284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12,720</w:t>
            </w:r>
          </w:p>
        </w:tc>
      </w:tr>
      <w:tr>
        <w:trPr>
          <w:trHeight w:val="256"/>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Finance revenue</w:t>
            </w:r>
          </w:p>
        </w:tc>
        <w:tc>
          <w:tcPr>
            <w:tcW w:w="3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4,415</w:t>
            </w:r>
          </w:p>
        </w:tc>
      </w:tr>
      <w:tr>
        <w:trPr>
          <w:trHeight w:val="250"/>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321,642</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32,600</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354,242</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92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20"/>
                <w:szCs w:val="20"/>
                <w:color w:val="auto"/>
                <w:w w:val="99"/>
              </w:rPr>
              <w:t>Three months ended September 30, 2025</w:t>
            </w:r>
          </w:p>
        </w:tc>
      </w:tr>
      <w:tr>
        <w:trPr>
          <w:trHeight w:val="254"/>
        </w:trPr>
        <w:tc>
          <w:tcPr>
            <w:tcW w:w="6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147,039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29,788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176,827</w:t>
            </w:r>
          </w:p>
        </w:tc>
      </w:tr>
      <w:tr>
        <w:trPr>
          <w:trHeight w:val="257"/>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11,560</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13,127</w:t>
            </w:r>
          </w:p>
        </w:tc>
      </w:tr>
      <w:tr>
        <w:trPr>
          <w:trHeight w:val="250"/>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revenue from customer contracts</w:t>
            </w: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158,599</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31,355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189,954</w:t>
            </w:r>
          </w:p>
        </w:tc>
      </w:tr>
      <w:tr>
        <w:trPr>
          <w:trHeight w:val="25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Earned premium, net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187,039</w:t>
            </w:r>
          </w:p>
        </w:tc>
      </w:tr>
      <w:tr>
        <w:trPr>
          <w:trHeight w:val="257"/>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investment income</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9,860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10,152</w:t>
            </w:r>
          </w:p>
        </w:tc>
      </w:tr>
      <w:tr>
        <w:trPr>
          <w:trHeight w:val="25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investment gains</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w:t>
            </w:r>
          </w:p>
        </w:tc>
      </w:tr>
      <w:tr>
        <w:trPr>
          <w:trHeight w:val="25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Finance revenue</w:t>
            </w:r>
          </w:p>
        </w:tc>
        <w:tc>
          <w:tcPr>
            <w:tcW w:w="2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3,001</w:t>
            </w:r>
          </w:p>
        </w:tc>
      </w:tr>
      <w:tr>
        <w:trPr>
          <w:trHeight w:val="250"/>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Total revenue</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356,769</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34,648</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391,417</w:t>
            </w:r>
          </w:p>
        </w:tc>
      </w:tr>
      <w:tr>
        <w:trPr>
          <w:trHeight w:val="21"/>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611"/>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20"/>
                <w:szCs w:val="20"/>
                <w:color w:val="auto"/>
                <w:w w:val="99"/>
              </w:rPr>
              <w:t>Nine months ended September 30, 2026</w:t>
            </w:r>
          </w:p>
        </w:tc>
      </w:tr>
      <w:tr>
        <w:trPr>
          <w:trHeight w:val="254"/>
        </w:trPr>
        <w:tc>
          <w:tcPr>
            <w:tcW w:w="6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91,016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63,175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154,191</w:t>
            </w:r>
          </w:p>
        </w:tc>
      </w:tr>
      <w:tr>
        <w:trPr>
          <w:trHeight w:val="256"/>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36,066</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22,905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58,971</w:t>
            </w:r>
          </w:p>
        </w:tc>
      </w:tr>
      <w:tr>
        <w:trPr>
          <w:trHeight w:val="250"/>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revenue from customer contracts</w:t>
            </w: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127,082</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86,080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213,162</w:t>
            </w:r>
          </w:p>
        </w:tc>
      </w:tr>
      <w:tr>
        <w:trPr>
          <w:trHeight w:val="25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Earned premium, net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756,711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756,711</w:t>
            </w:r>
          </w:p>
        </w:tc>
      </w:tr>
      <w:tr>
        <w:trPr>
          <w:trHeight w:val="257"/>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investment income</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33,986</w:t>
            </w:r>
          </w:p>
        </w:tc>
      </w:tr>
      <w:tr>
        <w:trPr>
          <w:trHeight w:val="25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investment gains</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5,641</w:t>
            </w:r>
          </w:p>
        </w:tc>
      </w:tr>
      <w:tr>
        <w:trPr>
          <w:trHeight w:val="25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Finance revenue</w:t>
            </w:r>
          </w:p>
        </w:tc>
        <w:tc>
          <w:tcPr>
            <w:tcW w:w="2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11,394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11,394</w:t>
            </w:r>
          </w:p>
        </w:tc>
      </w:tr>
      <w:tr>
        <w:trPr>
          <w:trHeight w:val="250"/>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Total revenue</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922,463</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98,431</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1,020,894</w:t>
            </w:r>
          </w:p>
        </w:tc>
      </w:tr>
      <w:tr>
        <w:trPr>
          <w:trHeight w:val="21"/>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597"/>
        </w:trPr>
        <w:tc>
          <w:tcPr>
            <w:tcW w:w="6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7"/>
          </w:tcPr>
          <w:p>
            <w:pPr>
              <w:jc w:val="center"/>
              <w:ind w:right="201"/>
              <w:spacing w:after="0"/>
              <w:rPr>
                <w:sz w:val="20"/>
                <w:szCs w:val="20"/>
                <w:color w:val="auto"/>
              </w:rPr>
            </w:pPr>
            <w:r>
              <w:rPr>
                <w:rFonts w:ascii="Times New Roman" w:cs="Times New Roman" w:eastAsia="Times New Roman" w:hAnsi="Times New Roman"/>
                <w:sz w:val="20"/>
                <w:szCs w:val="20"/>
                <w:color w:val="auto"/>
                <w:w w:val="99"/>
              </w:rPr>
              <w:t>Nine months ended September 30, 2025</w:t>
            </w:r>
          </w:p>
        </w:tc>
      </w:tr>
      <w:tr>
        <w:trPr>
          <w:trHeight w:val="254"/>
        </w:trPr>
        <w:tc>
          <w:tcPr>
            <w:tcW w:w="60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7"/>
              </w:rPr>
              <w:t>Marketplace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411,369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73,538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484,907</w:t>
            </w:r>
          </w:p>
        </w:tc>
      </w:tr>
      <w:tr>
        <w:trPr>
          <w:trHeight w:val="25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32,410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41,870</w:t>
            </w:r>
          </w:p>
        </w:tc>
      </w:tr>
      <w:tr>
        <w:trPr>
          <w:trHeight w:val="250"/>
        </w:trPr>
        <w:tc>
          <w:tcPr>
            <w:tcW w:w="6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revenue from customer contracts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443,779</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82,998</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526,777</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Earned premium,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534,179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534,179</w:t>
            </w:r>
          </w:p>
        </w:tc>
      </w:tr>
      <w:tr>
        <w:trPr>
          <w:trHeight w:val="257"/>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investment income</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28,030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28,626</w:t>
            </w:r>
          </w:p>
        </w:tc>
      </w:tr>
      <w:tr>
        <w:trPr>
          <w:trHeight w:val="25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investment gains</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w:t>
            </w: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Finance revenue</w:t>
            </w: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7,330</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7,330</w:t>
            </w:r>
          </w:p>
        </w:tc>
      </w:tr>
      <w:tr>
        <w:trPr>
          <w:trHeight w:val="250"/>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Total revenue</w:t>
            </w: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1,008,138</w:t>
            </w:r>
          </w:p>
        </w:tc>
        <w:tc>
          <w:tcPr>
            <w:tcW w:w="80" w:type="dxa"/>
            <w:vAlign w:val="bottom"/>
          </w:tcPr>
          <w:p>
            <w:pPr>
              <w:spacing w:after="0"/>
              <w:rPr>
                <w:sz w:val="21"/>
                <w:szCs w:val="21"/>
                <w:color w:val="auto"/>
              </w:rPr>
            </w:pP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90,924</w:t>
            </w:r>
          </w:p>
        </w:tc>
        <w:tc>
          <w:tcPr>
            <w:tcW w:w="80" w:type="dxa"/>
            <w:vAlign w:val="bottom"/>
          </w:tcPr>
          <w:p>
            <w:pPr>
              <w:spacing w:after="0"/>
              <w:rPr>
                <w:sz w:val="21"/>
                <w:szCs w:val="21"/>
                <w:color w:val="auto"/>
              </w:rPr>
            </w:pPr>
          </w:p>
        </w:tc>
        <w:tc>
          <w:tcPr>
            <w:tcW w:w="3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1,099,062</w:t>
            </w: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Commission and fee revenue is earned through two distribution channels: direct and agent. Revenue earned from the direct distribution</w:t>
      </w:r>
    </w:p>
    <w:p>
      <w:pPr>
        <w:ind w:right="260"/>
        <w:spacing w:after="0" w:line="215" w:lineRule="auto"/>
        <w:rPr>
          <w:sz w:val="20"/>
          <w:szCs w:val="20"/>
          <w:color w:val="auto"/>
        </w:rPr>
      </w:pPr>
      <w:r>
        <w:rPr>
          <w:rFonts w:ascii="Times New Roman" w:cs="Times New Roman" w:eastAsia="Times New Roman" w:hAnsi="Times New Roman"/>
          <w:sz w:val="19"/>
          <w:szCs w:val="19"/>
          <w:color w:val="auto"/>
        </w:rPr>
        <w:t>channel includes revenue generated by Hagerty's employee agents. Revenue earned from the agent distribution channel includes revenue generated through the Company's insurance distribution partnerships, as well as its relationships with independent agents and brokers. The</w:t>
      </w:r>
    </w:p>
    <w:p>
      <w:pPr>
        <w:spacing w:after="0"/>
        <w:rPr>
          <w:sz w:val="20"/>
          <w:szCs w:val="20"/>
          <w:color w:val="auto"/>
        </w:rPr>
      </w:pPr>
      <w:r>
        <w:rPr>
          <w:rFonts w:ascii="Times New Roman" w:cs="Times New Roman" w:eastAsia="Times New Roman" w:hAnsi="Times New Roman"/>
          <w:sz w:val="20"/>
          <w:szCs w:val="20"/>
          <w:color w:val="auto"/>
        </w:rPr>
        <w:t>tables below present the Company's revenue by distribution channel for the three and nine months ended September 30,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860" w:type="dxa"/>
            <w:vAlign w:val="bottom"/>
            <w:tcBorders>
              <w:bottom w:val="single" w:sz="8" w:color="auto"/>
            </w:tcBorders>
            <w:gridSpan w:val="9"/>
          </w:tcPr>
          <w:p>
            <w:pPr>
              <w:jc w:val="center"/>
              <w:ind w:right="261"/>
              <w:spacing w:after="0"/>
              <w:rPr>
                <w:sz w:val="20"/>
                <w:szCs w:val="20"/>
                <w:color w:val="auto"/>
              </w:rPr>
            </w:pPr>
            <w:r>
              <w:rPr>
                <w:rFonts w:ascii="Times New Roman" w:cs="Times New Roman" w:eastAsia="Times New Roman" w:hAnsi="Times New Roman"/>
                <w:sz w:val="20"/>
                <w:szCs w:val="20"/>
                <w:color w:val="auto"/>
                <w:w w:val="99"/>
              </w:rPr>
              <w:t>Three months ended September 30, 2026</w:t>
            </w:r>
          </w:p>
        </w:tc>
      </w:tr>
      <w:tr>
        <w:trPr>
          <w:trHeight w:val="254"/>
        </w:trPr>
        <w:tc>
          <w:tcPr>
            <w:tcW w:w="6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rPr>
              <w:t>Agent</w:t>
            </w:r>
          </w:p>
        </w:tc>
        <w:tc>
          <w:tcPr>
            <w:tcW w:w="80" w:type="dxa"/>
            <w:vAlign w:val="bottom"/>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9"/>
              </w:rPr>
              <w:t>Direct</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13,011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7,753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20,764</w:t>
            </w:r>
          </w:p>
        </w:tc>
      </w:tr>
      <w:tr>
        <w:trPr>
          <w:trHeight w:val="25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Contingent commission</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822</w:t>
            </w:r>
          </w:p>
        </w:tc>
      </w:tr>
      <w:tr>
        <w:trPr>
          <w:trHeight w:val="275"/>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commission and fee revenue</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13,412</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8,174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21,586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78"/>
        </w:trPr>
        <w:tc>
          <w:tcPr>
            <w:tcW w:w="6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9"/>
          </w:tcPr>
          <w:p>
            <w:pPr>
              <w:jc w:val="center"/>
              <w:ind w:right="261"/>
              <w:spacing w:after="0"/>
              <w:rPr>
                <w:sz w:val="20"/>
                <w:szCs w:val="20"/>
                <w:color w:val="auto"/>
              </w:rPr>
            </w:pPr>
            <w:r>
              <w:rPr>
                <w:rFonts w:ascii="Times New Roman" w:cs="Times New Roman" w:eastAsia="Times New Roman" w:hAnsi="Times New Roman"/>
                <w:sz w:val="20"/>
                <w:szCs w:val="20"/>
                <w:color w:val="auto"/>
                <w:w w:val="99"/>
              </w:rPr>
              <w:t>Three months ended September 30, 2025</w:t>
            </w:r>
          </w:p>
        </w:tc>
      </w:tr>
      <w:tr>
        <w:trPr>
          <w:trHeight w:val="254"/>
        </w:trPr>
        <w:tc>
          <w:tcPr>
            <w:tcW w:w="6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Agent</w:t>
            </w:r>
          </w:p>
        </w:tc>
        <w:tc>
          <w:tcPr>
            <w:tcW w:w="8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9"/>
              </w:rPr>
              <w:t>Direct</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67,685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54,049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121,734</w:t>
            </w:r>
          </w:p>
        </w:tc>
      </w:tr>
      <w:tr>
        <w:trPr>
          <w:trHeight w:val="25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Contingent commission</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8,466</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6,903</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15,369</w:t>
            </w:r>
          </w:p>
        </w:tc>
      </w:tr>
      <w:tr>
        <w:trPr>
          <w:trHeight w:val="275"/>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commission and fee revenue</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76,151</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60,952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137,103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1"/>
        </w:trPr>
        <w:tc>
          <w:tcPr>
            <w:tcW w:w="6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9"/>
          </w:tcPr>
          <w:p>
            <w:pPr>
              <w:jc w:val="center"/>
              <w:ind w:right="261"/>
              <w:spacing w:after="0"/>
              <w:rPr>
                <w:sz w:val="20"/>
                <w:szCs w:val="20"/>
                <w:color w:val="auto"/>
              </w:rPr>
            </w:pPr>
            <w:r>
              <w:rPr>
                <w:rFonts w:ascii="Times New Roman" w:cs="Times New Roman" w:eastAsia="Times New Roman" w:hAnsi="Times New Roman"/>
                <w:sz w:val="20"/>
                <w:szCs w:val="20"/>
                <w:color w:val="auto"/>
                <w:w w:val="99"/>
              </w:rPr>
              <w:t>Nine months ended September 30, 2026</w:t>
            </w:r>
          </w:p>
        </w:tc>
      </w:tr>
      <w:tr>
        <w:trPr>
          <w:trHeight w:val="254"/>
        </w:trPr>
        <w:tc>
          <w:tcPr>
            <w:tcW w:w="6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Agent</w:t>
            </w:r>
          </w:p>
        </w:tc>
        <w:tc>
          <w:tcPr>
            <w:tcW w:w="8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9"/>
              </w:rPr>
              <w:t>Direct</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37,357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20,668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58,025</w:t>
            </w:r>
          </w:p>
        </w:tc>
      </w:tr>
      <w:tr>
        <w:trPr>
          <w:trHeight w:val="25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Contingent commission</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3,661</w:t>
            </w:r>
          </w:p>
        </w:tc>
      </w:tr>
      <w:tr>
        <w:trPr>
          <w:trHeight w:val="275"/>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commission and fee revenue</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38,849</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22,837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61,686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1"/>
        </w:trPr>
        <w:tc>
          <w:tcPr>
            <w:tcW w:w="6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9"/>
          </w:tcPr>
          <w:p>
            <w:pPr>
              <w:jc w:val="center"/>
              <w:ind w:right="261"/>
              <w:spacing w:after="0"/>
              <w:rPr>
                <w:sz w:val="20"/>
                <w:szCs w:val="20"/>
                <w:color w:val="auto"/>
              </w:rPr>
            </w:pPr>
            <w:r>
              <w:rPr>
                <w:rFonts w:ascii="Times New Roman" w:cs="Times New Roman" w:eastAsia="Times New Roman" w:hAnsi="Times New Roman"/>
                <w:sz w:val="20"/>
                <w:szCs w:val="20"/>
                <w:color w:val="auto"/>
                <w:w w:val="99"/>
              </w:rPr>
              <w:t>Nine months ended September 30, 2025</w:t>
            </w:r>
          </w:p>
        </w:tc>
      </w:tr>
      <w:tr>
        <w:trPr>
          <w:trHeight w:val="254"/>
        </w:trPr>
        <w:tc>
          <w:tcPr>
            <w:tcW w:w="6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Agent</w:t>
            </w:r>
          </w:p>
        </w:tc>
        <w:tc>
          <w:tcPr>
            <w:tcW w:w="8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9"/>
              </w:rPr>
              <w:t>Direct</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186,455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152,882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339,337</w:t>
            </w:r>
          </w:p>
        </w:tc>
      </w:tr>
      <w:tr>
        <w:trPr>
          <w:trHeight w:val="25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Contingent commission</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22,352</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18,988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41,340</w:t>
            </w:r>
          </w:p>
        </w:tc>
      </w:tr>
      <w:tr>
        <w:trPr>
          <w:trHeight w:val="275"/>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commission and fee revenue</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208,807</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171,870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380,677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color w:val="auto"/>
        </w:rPr>
        <w:t>Refer to Note 13 — Reinsurance for information regarding "Earned premium, net", Note 6 — Investments for information regarding "Net investment income" and "Net investment gains", and Note 8 — Notes Receivable for information regarding "Finance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Assets</w:t>
      </w:r>
    </w:p>
    <w:p>
      <w:pPr>
        <w:spacing w:after="0" w:line="206"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Contract assets, primarily consisting of CUC receivables, are reported within "Other assets" on the Condensed Consolidated Balance Sheets. As of September 30, 2026 and December 31, 2025, the Company had contract assets of $2.4 million and $18.2 million, respectively. The</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20"/>
          <w:szCs w:val="20"/>
          <w:color w:val="auto"/>
        </w:rPr>
        <w:t>decrease as of September 30, 2026 is primarily a result of the Markel Fronting Arrangement, as the Company no longer earns a CUC from policies issued by Essentia.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w:t>
      </w:r>
    </w:p>
    <w:p>
      <w:pPr>
        <w:spacing w:after="0" w:line="220"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9"/>
          <w:szCs w:val="19"/>
          <w:color w:val="auto"/>
        </w:rPr>
        <w:t>Contract liabilities consist of cash collected in advance of revenue recognition and primarily relate to the unrecognized portion of HDC membership fees, the unrecognized portion of the advanced commission payment received from State Farm Mutual Automobile Insurance</w:t>
      </w:r>
    </w:p>
    <w:p>
      <w:pPr>
        <w:ind w:right="600"/>
        <w:spacing w:after="0" w:line="233" w:lineRule="auto"/>
        <w:rPr>
          <w:sz w:val="20"/>
          <w:szCs w:val="20"/>
          <w:color w:val="auto"/>
        </w:rPr>
      </w:pPr>
      <w:r>
        <w:rPr>
          <w:rFonts w:ascii="Times New Roman" w:cs="Times New Roman" w:eastAsia="Times New Roman" w:hAnsi="Times New Roman"/>
          <w:sz w:val="19"/>
          <w:szCs w:val="19"/>
          <w:color w:val="auto"/>
        </w:rPr>
        <w:t>Company ("State Farm"), and, to a much lesser extent, cash collected in advance of the completion of marketplace private sales. As of September 30, 2026 and December 31, 2025, the Company had contract liabilities of $51.6 million and $46.5 million, respectively.</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 Investments</w:t>
      </w:r>
    </w:p>
    <w:p>
      <w:pPr>
        <w:spacing w:after="0" w:line="220"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0"/>
          <w:szCs w:val="20"/>
          <w:color w:val="auto"/>
        </w:rPr>
        <w:t>The Company holds a diversified investment portfolio, consisting of fixed maturity securities and, to a much lesser extent, equity securities such as common stocks and exchange traded funds. The Company's fixed maturity securities are classified as available-for-sale.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Company's available-for-sale investments as of September 30, 2026 and December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20"/>
                <w:szCs w:val="20"/>
                <w:color w:val="auto"/>
                <w:w w:val="99"/>
              </w:rPr>
              <w:t>September 30, 2026</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20"/>
                <w:szCs w:val="20"/>
                <w:color w:val="auto"/>
                <w:w w:val="98"/>
              </w:rPr>
              <w:t>Gross</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20"/>
                <w:szCs w:val="20"/>
                <w:color w:val="auto"/>
                <w:w w:val="98"/>
              </w:rPr>
              <w:t>Gross</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Estimated Fair</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Amortized Cost</w:t>
            </w:r>
          </w:p>
        </w:tc>
        <w:tc>
          <w:tcPr>
            <w:tcW w:w="8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rPr>
              <w:t>Unrealized</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w w:val="97"/>
              </w:rPr>
              <w:t>Unrealized</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2"/>
                <w:szCs w:val="22"/>
                <w:color w:val="auto"/>
              </w:rPr>
            </w:pPr>
          </w:p>
        </w:tc>
        <w:tc>
          <w:tcPr>
            <w:tcW w:w="1340" w:type="dxa"/>
            <w:vAlign w:val="bottom"/>
            <w:tcBorders>
              <w:bottom w:val="single" w:sz="8" w:color="auto"/>
            </w:tcBorders>
            <w:gridSpan w:val="2"/>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8"/>
              </w:rPr>
              <w:t>Gains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9"/>
              </w:rPr>
              <w:t>Losses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87"/>
        </w:trPr>
        <w:tc>
          <w:tcPr>
            <w:tcW w:w="5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jc w:val="center"/>
              <w:ind w:right="24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258,398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(6,915)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251,571</w:t>
            </w:r>
          </w:p>
        </w:tc>
        <w:tc>
          <w:tcPr>
            <w:tcW w:w="0" w:type="dxa"/>
            <w:vAlign w:val="bottom"/>
          </w:tcPr>
          <w:p>
            <w:pPr>
              <w:spacing w:after="0"/>
              <w:rPr>
                <w:sz w:val="1"/>
                <w:szCs w:val="1"/>
                <w:color w:val="auto"/>
              </w:rPr>
            </w:pPr>
          </w:p>
        </w:tc>
      </w:tr>
      <w:tr>
        <w:trPr>
          <w:trHeight w:val="256"/>
        </w:trPr>
        <w:tc>
          <w:tcPr>
            <w:tcW w:w="5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Treasury</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103,326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100,086</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States and municipalities</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31,341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30,136</w:t>
            </w:r>
          </w:p>
        </w:tc>
        <w:tc>
          <w:tcPr>
            <w:tcW w:w="0" w:type="dxa"/>
            <w:vAlign w:val="bottom"/>
          </w:tcPr>
          <w:p>
            <w:pPr>
              <w:spacing w:after="0"/>
              <w:rPr>
                <w:sz w:val="1"/>
                <w:szCs w:val="1"/>
                <w:color w:val="auto"/>
              </w:rPr>
            </w:pPr>
          </w:p>
        </w:tc>
      </w:tr>
      <w:tr>
        <w:trPr>
          <w:trHeight w:val="257"/>
        </w:trPr>
        <w:tc>
          <w:tcPr>
            <w:tcW w:w="5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34,216</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Asset-backed securities</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74,573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73,854</w:t>
            </w:r>
          </w:p>
        </w:tc>
        <w:tc>
          <w:tcPr>
            <w:tcW w:w="0" w:type="dxa"/>
            <w:vAlign w:val="bottom"/>
          </w:tcPr>
          <w:p>
            <w:pPr>
              <w:spacing w:after="0"/>
              <w:rPr>
                <w:sz w:val="1"/>
                <w:szCs w:val="1"/>
                <w:color w:val="auto"/>
              </w:rPr>
            </w:pPr>
          </w:p>
        </w:tc>
      </w:tr>
      <w:tr>
        <w:trPr>
          <w:trHeight w:val="257"/>
        </w:trPr>
        <w:tc>
          <w:tcPr>
            <w:tcW w:w="5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137,644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130,960</w:t>
            </w:r>
          </w:p>
        </w:tc>
        <w:tc>
          <w:tcPr>
            <w:tcW w:w="0" w:type="dxa"/>
            <w:vAlign w:val="bottom"/>
          </w:tcPr>
          <w:p>
            <w:pPr>
              <w:spacing w:after="0"/>
              <w:rPr>
                <w:sz w:val="1"/>
                <w:szCs w:val="1"/>
                <w:color w:val="auto"/>
              </w:rPr>
            </w:pPr>
          </w:p>
        </w:tc>
      </w:tr>
      <w:tr>
        <w:trPr>
          <w:trHeight w:val="275"/>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fixed maturity securities</w:t>
            </w:r>
          </w:p>
        </w:tc>
        <w:tc>
          <w:tcPr>
            <w:tcW w:w="38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639,905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(19,230)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620,823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5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20"/>
                <w:szCs w:val="20"/>
                <w:color w:val="auto"/>
                <w:w w:val="99"/>
              </w:rPr>
              <w:t>December 31, 2025</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40"/>
              <w:spacing w:after="0" w:line="190" w:lineRule="exact"/>
              <w:rPr>
                <w:sz w:val="20"/>
                <w:szCs w:val="20"/>
                <w:color w:val="auto"/>
              </w:rPr>
            </w:pPr>
            <w:r>
              <w:rPr>
                <w:rFonts w:ascii="Times New Roman" w:cs="Times New Roman" w:eastAsia="Times New Roman" w:hAnsi="Times New Roman"/>
                <w:sz w:val="20"/>
                <w:szCs w:val="20"/>
                <w:color w:val="auto"/>
                <w:w w:val="98"/>
              </w:rPr>
              <w:t>Gross</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line="190" w:lineRule="exact"/>
              <w:rPr>
                <w:sz w:val="20"/>
                <w:szCs w:val="20"/>
                <w:color w:val="auto"/>
              </w:rPr>
            </w:pPr>
            <w:r>
              <w:rPr>
                <w:rFonts w:ascii="Times New Roman" w:cs="Times New Roman" w:eastAsia="Times New Roman" w:hAnsi="Times New Roman"/>
                <w:sz w:val="20"/>
                <w:szCs w:val="20"/>
                <w:color w:val="auto"/>
                <w:w w:val="98"/>
              </w:rPr>
              <w:t>Gross</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Estimated Fair</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Amortized Cost</w:t>
            </w:r>
          </w:p>
        </w:tc>
        <w:tc>
          <w:tcPr>
            <w:tcW w:w="8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rPr>
              <w:t>Unrealized</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w w:val="97"/>
              </w:rPr>
              <w:t>Unrealized</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600" w:type="dxa"/>
            <w:vAlign w:val="bottom"/>
          </w:tcPr>
          <w:p>
            <w:pPr>
              <w:spacing w:after="0"/>
              <w:rPr>
                <w:sz w:val="21"/>
                <w:szCs w:val="21"/>
                <w:color w:val="auto"/>
              </w:rPr>
            </w:pPr>
          </w:p>
        </w:tc>
        <w:tc>
          <w:tcPr>
            <w:tcW w:w="134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8"/>
              </w:rPr>
              <w:t>Gains</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9"/>
              </w:rPr>
              <w:t>Losses</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87"/>
        </w:trPr>
        <w:tc>
          <w:tcPr>
            <w:tcW w:w="5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jc w:val="center"/>
              <w:ind w:right="24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262,302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266,168</w:t>
            </w:r>
          </w:p>
        </w:tc>
        <w:tc>
          <w:tcPr>
            <w:tcW w:w="0" w:type="dxa"/>
            <w:vAlign w:val="bottom"/>
          </w:tcPr>
          <w:p>
            <w:pPr>
              <w:spacing w:after="0"/>
              <w:rPr>
                <w:sz w:val="1"/>
                <w:szCs w:val="1"/>
                <w:color w:val="auto"/>
              </w:rPr>
            </w:pPr>
          </w:p>
        </w:tc>
      </w:tr>
      <w:tr>
        <w:trPr>
          <w:trHeight w:val="256"/>
        </w:trPr>
        <w:tc>
          <w:tcPr>
            <w:tcW w:w="5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Treasury</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181,077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181,617</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States and municipalities</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30,146</w:t>
            </w:r>
          </w:p>
        </w:tc>
        <w:tc>
          <w:tcPr>
            <w:tcW w:w="0" w:type="dxa"/>
            <w:vAlign w:val="bottom"/>
          </w:tcPr>
          <w:p>
            <w:pPr>
              <w:spacing w:after="0"/>
              <w:rPr>
                <w:sz w:val="1"/>
                <w:szCs w:val="1"/>
                <w:color w:val="auto"/>
              </w:rPr>
            </w:pPr>
          </w:p>
        </w:tc>
      </w:tr>
      <w:tr>
        <w:trPr>
          <w:trHeight w:val="256"/>
        </w:trPr>
        <w:tc>
          <w:tcPr>
            <w:tcW w:w="5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32,992</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Asset-backed securities</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31,899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32,251</w:t>
            </w: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150,353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153,097</w:t>
            </w:r>
          </w:p>
        </w:tc>
        <w:tc>
          <w:tcPr>
            <w:tcW w:w="0" w:type="dxa"/>
            <w:vAlign w:val="bottom"/>
          </w:tcPr>
          <w:p>
            <w:pPr>
              <w:spacing w:after="0"/>
              <w:rPr>
                <w:sz w:val="1"/>
                <w:szCs w:val="1"/>
                <w:color w:val="auto"/>
              </w:rPr>
            </w:pPr>
          </w:p>
        </w:tc>
      </w:tr>
      <w:tr>
        <w:trPr>
          <w:trHeight w:val="27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fixed maturity securities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687,813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9,124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696,271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color w:val="auto"/>
        </w:rPr>
        <w:t>As of September 30, 2026 and December 31, 2025, the estimated fair value of the equity securities held by the Company was $84.1 million and $34.9 million, respectively. Refer to Note 7 — Fair Value Measurements for additional information on the Company's equity securities.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Available-for-sale fixed maturity securities in an unrealized loss position</w:t>
      </w:r>
    </w:p>
    <w:p>
      <w:pPr>
        <w:spacing w:after="0" w:line="220"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The following table summarizes gross unrealized losses and the estimated fair value of available-for-sale fixed maturity securities that have continuously been in an unrealized loss position, as well as the length of time that such securities were in an unrealized loss position, as of</w:t>
      </w:r>
    </w:p>
    <w:p>
      <w:pPr>
        <w:spacing w:after="0"/>
        <w:rPr>
          <w:sz w:val="20"/>
          <w:szCs w:val="20"/>
          <w:color w:val="auto"/>
        </w:rPr>
      </w:pPr>
      <w:r>
        <w:rPr>
          <w:rFonts w:ascii="Times New Roman" w:cs="Times New Roman" w:eastAsia="Times New Roman" w:hAnsi="Times New Roman"/>
          <w:sz w:val="20"/>
          <w:szCs w:val="20"/>
          <w:color w:val="auto"/>
        </w:rPr>
        <w:t>September 30, 2026 and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98"/>
              </w:rPr>
              <w:t>September 30, 2026</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Less than 12 months</w:t>
            </w:r>
          </w:p>
        </w:tc>
        <w:tc>
          <w:tcPr>
            <w:tcW w:w="280" w:type="dxa"/>
            <w:vAlign w:val="bottom"/>
          </w:tcPr>
          <w:p>
            <w:pPr>
              <w:spacing w:after="0"/>
              <w:rPr>
                <w:sz w:val="22"/>
                <w:szCs w:val="22"/>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8"/>
              </w:rPr>
              <w:t>12 months or longer</w:t>
            </w:r>
          </w:p>
        </w:tc>
        <w:tc>
          <w:tcPr>
            <w:tcW w:w="28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Total</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4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Estimated fair</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81"/>
              <w:spacing w:after="0" w:line="183" w:lineRule="exact"/>
              <w:rPr>
                <w:sz w:val="20"/>
                <w:szCs w:val="20"/>
                <w:color w:val="auto"/>
              </w:rPr>
            </w:pPr>
            <w:r>
              <w:rPr>
                <w:rFonts w:ascii="Times New Roman" w:cs="Times New Roman" w:eastAsia="Times New Roman" w:hAnsi="Times New Roman"/>
                <w:sz w:val="20"/>
                <w:szCs w:val="20"/>
                <w:color w:val="auto"/>
                <w:w w:val="98"/>
              </w:rPr>
              <w:t>Gross</w:t>
            </w:r>
          </w:p>
        </w:tc>
        <w:tc>
          <w:tcPr>
            <w:tcW w:w="80" w:type="dxa"/>
            <w:vAlign w:val="bottom"/>
          </w:tcPr>
          <w:p>
            <w:pPr>
              <w:spacing w:after="0"/>
              <w:rPr>
                <w:sz w:val="15"/>
                <w:szCs w:val="15"/>
                <w:color w:val="auto"/>
              </w:rPr>
            </w:pPr>
          </w:p>
        </w:tc>
        <w:tc>
          <w:tcPr>
            <w:tcW w:w="14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Estimated fair</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81"/>
              <w:spacing w:after="0" w:line="183" w:lineRule="exact"/>
              <w:rPr>
                <w:sz w:val="20"/>
                <w:szCs w:val="20"/>
                <w:color w:val="auto"/>
              </w:rPr>
            </w:pPr>
            <w:r>
              <w:rPr>
                <w:rFonts w:ascii="Times New Roman" w:cs="Times New Roman" w:eastAsia="Times New Roman" w:hAnsi="Times New Roman"/>
                <w:sz w:val="20"/>
                <w:szCs w:val="20"/>
                <w:color w:val="auto"/>
                <w:w w:val="98"/>
              </w:rPr>
              <w:t>Gross</w:t>
            </w:r>
          </w:p>
        </w:tc>
        <w:tc>
          <w:tcPr>
            <w:tcW w:w="80" w:type="dxa"/>
            <w:vAlign w:val="bottom"/>
          </w:tcPr>
          <w:p>
            <w:pPr>
              <w:spacing w:after="0"/>
              <w:rPr>
                <w:sz w:val="15"/>
                <w:szCs w:val="15"/>
                <w:color w:val="auto"/>
              </w:rPr>
            </w:pPr>
          </w:p>
        </w:tc>
        <w:tc>
          <w:tcPr>
            <w:tcW w:w="14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Estimated fair</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121"/>
              <w:spacing w:after="0" w:line="183" w:lineRule="exact"/>
              <w:rPr>
                <w:sz w:val="20"/>
                <w:szCs w:val="20"/>
                <w:color w:val="auto"/>
              </w:rPr>
            </w:pPr>
            <w:r>
              <w:rPr>
                <w:rFonts w:ascii="Times New Roman" w:cs="Times New Roman" w:eastAsia="Times New Roman" w:hAnsi="Times New Roman"/>
                <w:sz w:val="20"/>
                <w:szCs w:val="20"/>
                <w:color w:val="auto"/>
                <w:w w:val="98"/>
              </w:rPr>
              <w:t>Gross</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w w:val="98"/>
              </w:rPr>
              <w:t>unrealized</w:t>
            </w:r>
          </w:p>
        </w:tc>
        <w:tc>
          <w:tcPr>
            <w:tcW w:w="14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w w:val="98"/>
              </w:rPr>
              <w:t>unrealized</w:t>
            </w: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21"/>
              <w:spacing w:after="0" w:line="203" w:lineRule="exact"/>
              <w:rPr>
                <w:sz w:val="20"/>
                <w:szCs w:val="20"/>
                <w:color w:val="auto"/>
              </w:rPr>
            </w:pPr>
            <w:r>
              <w:rPr>
                <w:rFonts w:ascii="Times New Roman" w:cs="Times New Roman" w:eastAsia="Times New Roman" w:hAnsi="Times New Roman"/>
                <w:sz w:val="20"/>
                <w:szCs w:val="20"/>
                <w:color w:val="auto"/>
                <w:w w:val="98"/>
              </w:rPr>
              <w:t>unrealized</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6"/>
              </w:rPr>
              <w:t>losses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6"/>
              </w:rPr>
              <w:t>losses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6"/>
              </w:rPr>
              <w:t>losses</w:t>
            </w:r>
          </w:p>
        </w:tc>
        <w:tc>
          <w:tcPr>
            <w:tcW w:w="0" w:type="dxa"/>
            <w:vAlign w:val="bottom"/>
          </w:tcPr>
          <w:p>
            <w:pPr>
              <w:spacing w:after="0"/>
              <w:rPr>
                <w:sz w:val="1"/>
                <w:szCs w:val="1"/>
                <w:color w:val="auto"/>
              </w:rPr>
            </w:pPr>
          </w:p>
        </w:tc>
      </w:tr>
      <w:tr>
        <w:trPr>
          <w:trHeight w:val="287"/>
        </w:trPr>
        <w:tc>
          <w:tcPr>
            <w:tcW w:w="2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200,902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(6,885)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201,209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(6,915)</w:t>
            </w:r>
          </w:p>
        </w:tc>
        <w:tc>
          <w:tcPr>
            <w:tcW w:w="0" w:type="dxa"/>
            <w:vAlign w:val="bottom"/>
          </w:tcPr>
          <w:p>
            <w:pPr>
              <w:spacing w:after="0"/>
              <w:rPr>
                <w:sz w:val="1"/>
                <w:szCs w:val="1"/>
                <w:color w:val="auto"/>
              </w:rPr>
            </w:pPr>
          </w:p>
        </w:tc>
      </w:tr>
      <w:tr>
        <w:trPr>
          <w:trHeight w:val="257"/>
        </w:trPr>
        <w:tc>
          <w:tcPr>
            <w:tcW w:w="2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Treasury</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97,979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98,087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(3,240)</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States and municipalities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30,136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0" w:type="dxa"/>
            <w:vAlign w:val="bottom"/>
          </w:tcPr>
          <w:p>
            <w:pPr>
              <w:spacing w:after="0"/>
              <w:rPr>
                <w:sz w:val="1"/>
                <w:szCs w:val="1"/>
                <w:color w:val="auto"/>
              </w:rPr>
            </w:pPr>
          </w:p>
        </w:tc>
      </w:tr>
      <w:tr>
        <w:trPr>
          <w:trHeight w:val="256"/>
        </w:trPr>
        <w:tc>
          <w:tcPr>
            <w:tcW w:w="2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28,869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Asset-backed securities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48,312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48,312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0" w:type="dxa"/>
            <w:vAlign w:val="bottom"/>
          </w:tcPr>
          <w:p>
            <w:pPr>
              <w:spacing w:after="0"/>
              <w:rPr>
                <w:sz w:val="1"/>
                <w:szCs w:val="1"/>
                <w:color w:val="auto"/>
              </w:rPr>
            </w:pPr>
          </w:p>
        </w:tc>
      </w:tr>
      <w:tr>
        <w:trPr>
          <w:trHeight w:val="257"/>
        </w:trPr>
        <w:tc>
          <w:tcPr>
            <w:tcW w:w="2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130,960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130,960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(6,684)</w:t>
            </w:r>
          </w:p>
        </w:tc>
        <w:tc>
          <w:tcPr>
            <w:tcW w:w="0" w:type="dxa"/>
            <w:vAlign w:val="bottom"/>
          </w:tcPr>
          <w:p>
            <w:pPr>
              <w:spacing w:after="0"/>
              <w:rPr>
                <w:sz w:val="1"/>
                <w:szCs w:val="1"/>
                <w:color w:val="auto"/>
              </w:rPr>
            </w:pPr>
          </w:p>
        </w:tc>
      </w:tr>
      <w:tr>
        <w:trPr>
          <w:trHeight w:val="275"/>
        </w:trPr>
        <w:tc>
          <w:tcPr>
            <w:tcW w:w="2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fixed maturity securities</w:t>
            </w: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537,158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537,573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(19,230)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97"/>
              </w:rPr>
              <w:t>December 31, 2025</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Less than 12 months</w:t>
            </w:r>
          </w:p>
        </w:tc>
        <w:tc>
          <w:tcPr>
            <w:tcW w:w="280" w:type="dxa"/>
            <w:vAlign w:val="bottom"/>
          </w:tcPr>
          <w:p>
            <w:pPr>
              <w:spacing w:after="0"/>
              <w:rPr>
                <w:sz w:val="22"/>
                <w:szCs w:val="22"/>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8"/>
              </w:rPr>
              <w:t>12 months or longer</w:t>
            </w:r>
          </w:p>
        </w:tc>
        <w:tc>
          <w:tcPr>
            <w:tcW w:w="28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Total</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4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Estimated fair</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81"/>
              <w:spacing w:after="0" w:line="186" w:lineRule="exact"/>
              <w:rPr>
                <w:sz w:val="20"/>
                <w:szCs w:val="20"/>
                <w:color w:val="auto"/>
              </w:rPr>
            </w:pPr>
            <w:r>
              <w:rPr>
                <w:rFonts w:ascii="Times New Roman" w:cs="Times New Roman" w:eastAsia="Times New Roman" w:hAnsi="Times New Roman"/>
                <w:sz w:val="20"/>
                <w:szCs w:val="20"/>
                <w:color w:val="auto"/>
                <w:w w:val="98"/>
              </w:rPr>
              <w:t>Gross</w:t>
            </w:r>
          </w:p>
        </w:tc>
        <w:tc>
          <w:tcPr>
            <w:tcW w:w="80" w:type="dxa"/>
            <w:vAlign w:val="bottom"/>
          </w:tcPr>
          <w:p>
            <w:pPr>
              <w:spacing w:after="0"/>
              <w:rPr>
                <w:sz w:val="16"/>
                <w:szCs w:val="16"/>
                <w:color w:val="auto"/>
              </w:rPr>
            </w:pPr>
          </w:p>
        </w:tc>
        <w:tc>
          <w:tcPr>
            <w:tcW w:w="14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Estimated fair</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81"/>
              <w:spacing w:after="0" w:line="186" w:lineRule="exact"/>
              <w:rPr>
                <w:sz w:val="20"/>
                <w:szCs w:val="20"/>
                <w:color w:val="auto"/>
              </w:rPr>
            </w:pPr>
            <w:r>
              <w:rPr>
                <w:rFonts w:ascii="Times New Roman" w:cs="Times New Roman" w:eastAsia="Times New Roman" w:hAnsi="Times New Roman"/>
                <w:sz w:val="20"/>
                <w:szCs w:val="20"/>
                <w:color w:val="auto"/>
                <w:w w:val="98"/>
              </w:rPr>
              <w:t>Gross</w:t>
            </w:r>
          </w:p>
        </w:tc>
        <w:tc>
          <w:tcPr>
            <w:tcW w:w="80" w:type="dxa"/>
            <w:vAlign w:val="bottom"/>
          </w:tcPr>
          <w:p>
            <w:pPr>
              <w:spacing w:after="0"/>
              <w:rPr>
                <w:sz w:val="16"/>
                <w:szCs w:val="16"/>
                <w:color w:val="auto"/>
              </w:rPr>
            </w:pPr>
          </w:p>
        </w:tc>
        <w:tc>
          <w:tcPr>
            <w:tcW w:w="14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9"/>
              </w:rPr>
              <w:t>Estimated fair</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21"/>
              <w:spacing w:after="0" w:line="186" w:lineRule="exact"/>
              <w:rPr>
                <w:sz w:val="20"/>
                <w:szCs w:val="20"/>
                <w:color w:val="auto"/>
              </w:rPr>
            </w:pPr>
            <w:r>
              <w:rPr>
                <w:rFonts w:ascii="Times New Roman" w:cs="Times New Roman" w:eastAsia="Times New Roman" w:hAnsi="Times New Roman"/>
                <w:sz w:val="20"/>
                <w:szCs w:val="20"/>
                <w:color w:val="auto"/>
                <w:w w:val="98"/>
              </w:rPr>
              <w:t>Gross</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w w:val="98"/>
              </w:rPr>
              <w:t>unrealized</w:t>
            </w:r>
          </w:p>
        </w:tc>
        <w:tc>
          <w:tcPr>
            <w:tcW w:w="14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20"/>
                <w:szCs w:val="20"/>
                <w:color w:val="auto"/>
                <w:w w:val="98"/>
              </w:rPr>
              <w:t>unrealized</w:t>
            </w: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21"/>
              <w:spacing w:after="0" w:line="203" w:lineRule="exact"/>
              <w:rPr>
                <w:sz w:val="20"/>
                <w:szCs w:val="20"/>
                <w:color w:val="auto"/>
              </w:rPr>
            </w:pPr>
            <w:r>
              <w:rPr>
                <w:rFonts w:ascii="Times New Roman" w:cs="Times New Roman" w:eastAsia="Times New Roman" w:hAnsi="Times New Roman"/>
                <w:sz w:val="20"/>
                <w:szCs w:val="20"/>
                <w:color w:val="auto"/>
                <w:w w:val="98"/>
              </w:rPr>
              <w:t>unrealized</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6"/>
              </w:rPr>
              <w:t>losses</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color w:val="auto"/>
                <w:w w:val="96"/>
              </w:rPr>
              <w:t>losses</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color w:val="auto"/>
                <w:w w:val="96"/>
              </w:rPr>
              <w:t>losses</w:t>
            </w:r>
          </w:p>
        </w:tc>
        <w:tc>
          <w:tcPr>
            <w:tcW w:w="0" w:type="dxa"/>
            <w:vAlign w:val="bottom"/>
          </w:tcPr>
          <w:p>
            <w:pPr>
              <w:spacing w:after="0"/>
              <w:rPr>
                <w:sz w:val="1"/>
                <w:szCs w:val="1"/>
                <w:color w:val="auto"/>
              </w:rPr>
            </w:pPr>
          </w:p>
        </w:tc>
      </w:tr>
      <w:tr>
        <w:trPr>
          <w:trHeight w:val="287"/>
        </w:trPr>
        <w:tc>
          <w:tcPr>
            <w:tcW w:w="2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6,307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9,461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15,768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56"/>
        </w:trPr>
        <w:tc>
          <w:tcPr>
            <w:tcW w:w="2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Treasury</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35,150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50,098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States and municipalities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56"/>
        </w:trPr>
        <w:tc>
          <w:tcPr>
            <w:tcW w:w="2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Asset-backed securities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10,312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20,889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31,201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0" w:type="dxa"/>
            <w:vAlign w:val="bottom"/>
          </w:tcPr>
          <w:p>
            <w:pPr>
              <w:spacing w:after="0"/>
              <w:rPr>
                <w:sz w:val="1"/>
                <w:szCs w:val="1"/>
                <w:color w:val="auto"/>
              </w:rPr>
            </w:pPr>
          </w:p>
        </w:tc>
      </w:tr>
      <w:tr>
        <w:trPr>
          <w:trHeight w:val="275"/>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fixed maturity securities</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71,429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47,179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118,608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regularly reviews all fixed maturity securities in an unrealized loss position within its investment portfolio to determine</w:t>
      </w:r>
    </w:p>
    <w:p>
      <w:pPr>
        <w:ind w:right="140"/>
        <w:spacing w:after="0" w:line="215" w:lineRule="auto"/>
        <w:rPr>
          <w:sz w:val="20"/>
          <w:szCs w:val="20"/>
          <w:color w:val="auto"/>
        </w:rPr>
      </w:pPr>
      <w:r>
        <w:rPr>
          <w:rFonts w:ascii="Times New Roman" w:cs="Times New Roman" w:eastAsia="Times New Roman" w:hAnsi="Times New Roman"/>
          <w:sz w:val="19"/>
          <w:szCs w:val="19"/>
          <w:color w:val="auto"/>
        </w:rPr>
        <w:t>whether the decline in fair value below its cost basis is due to a credit loss or to other factors. Based on the Company's review as of September 30, 2026 and December 31, 2025, unrealized losses were a result of interest rate changes, not a decline in the creditworthiness of</w:t>
      </w:r>
    </w:p>
    <w:p>
      <w:pPr>
        <w:spacing w:after="0"/>
        <w:rPr>
          <w:sz w:val="20"/>
          <w:szCs w:val="20"/>
          <w:color w:val="auto"/>
        </w:rPr>
      </w:pPr>
      <w:r>
        <w:rPr>
          <w:rFonts w:ascii="Times New Roman" w:cs="Times New Roman" w:eastAsia="Times New Roman" w:hAnsi="Times New Roman"/>
          <w:sz w:val="20"/>
          <w:szCs w:val="20"/>
          <w:color w:val="auto"/>
        </w:rPr>
        <w:t>the issuers. Accordingly, no allowance for credit loss was recorded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maturities of available-for-sale fixed maturity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contractual maturities of the Company's available-for-sale investments as of September 30, 2026: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Amortized Cost</w:t>
            </w:r>
          </w:p>
        </w:tc>
        <w:tc>
          <w:tcPr>
            <w:tcW w:w="8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Estimated Fair</w:t>
            </w:r>
          </w:p>
        </w:tc>
        <w:tc>
          <w:tcPr>
            <w:tcW w:w="0" w:type="dxa"/>
            <w:vAlign w:val="bottom"/>
          </w:tcPr>
          <w:p>
            <w:pPr>
              <w:spacing w:after="0"/>
              <w:rPr>
                <w:sz w:val="1"/>
                <w:szCs w:val="1"/>
                <w:color w:val="auto"/>
              </w:rPr>
            </w:pPr>
          </w:p>
        </w:tc>
      </w:tr>
      <w:tr>
        <w:trPr>
          <w:trHeight w:val="252"/>
        </w:trPr>
        <w:tc>
          <w:tcPr>
            <w:tcW w:w="7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287"/>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4"/>
          </w:tcPr>
          <w:p>
            <w:pPr>
              <w:jc w:val="right"/>
              <w:ind w:right="1121"/>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0" w:type="dxa"/>
            <w:vAlign w:val="bottom"/>
          </w:tcPr>
          <w:p>
            <w:pPr>
              <w:spacing w:after="0"/>
              <w:rPr>
                <w:sz w:val="1"/>
                <w:szCs w:val="1"/>
                <w:color w:val="auto"/>
              </w:rPr>
            </w:pPr>
          </w:p>
        </w:tc>
      </w:tr>
      <w:tr>
        <w:trPr>
          <w:trHeight w:val="2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Due in one year or less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55,330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55,338</w:t>
            </w:r>
          </w:p>
        </w:tc>
        <w:tc>
          <w:tcPr>
            <w:tcW w:w="0" w:type="dxa"/>
            <w:vAlign w:val="bottom"/>
          </w:tcPr>
          <w:p>
            <w:pPr>
              <w:spacing w:after="0"/>
              <w:rPr>
                <w:sz w:val="1"/>
                <w:szCs w:val="1"/>
                <w:color w:val="auto"/>
              </w:rPr>
            </w:pPr>
          </w:p>
        </w:tc>
      </w:tr>
      <w:tr>
        <w:trPr>
          <w:trHeight w:val="257"/>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Due after one year through five years</w:t>
            </w: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270,715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264,569</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Due after five years through ten years</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100,309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94,787</w:t>
            </w:r>
          </w:p>
        </w:tc>
        <w:tc>
          <w:tcPr>
            <w:tcW w:w="0" w:type="dxa"/>
            <w:vAlign w:val="bottom"/>
          </w:tcPr>
          <w:p>
            <w:pPr>
              <w:spacing w:after="0"/>
              <w:rPr>
                <w:sz w:val="1"/>
                <w:szCs w:val="1"/>
                <w:color w:val="auto"/>
              </w:rPr>
            </w:pPr>
          </w:p>
        </w:tc>
      </w:tr>
      <w:tr>
        <w:trPr>
          <w:trHeight w:val="257"/>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Due after ten years</w:t>
            </w: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Mortgage-backed and asset-backed securities</w:t>
            </w: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212,216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204,814</w:t>
            </w:r>
          </w:p>
        </w:tc>
        <w:tc>
          <w:tcPr>
            <w:tcW w:w="0" w:type="dxa"/>
            <w:vAlign w:val="bottom"/>
          </w:tcPr>
          <w:p>
            <w:pPr>
              <w:spacing w:after="0"/>
              <w:rPr>
                <w:sz w:val="1"/>
                <w:szCs w:val="1"/>
                <w:color w:val="auto"/>
              </w:rPr>
            </w:pPr>
          </w:p>
        </w:tc>
      </w:tr>
      <w:tr>
        <w:trPr>
          <w:trHeight w:val="250"/>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 fixed maturity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639,905</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620,823</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640"/>
        <w:spacing w:after="0"/>
        <w:rPr>
          <w:sz w:val="20"/>
          <w:szCs w:val="20"/>
          <w:color w:val="auto"/>
        </w:rPr>
      </w:pPr>
      <w:r>
        <w:rPr>
          <w:rFonts w:ascii="Times New Roman" w:cs="Times New Roman" w:eastAsia="Times New Roman" w:hAnsi="Times New Roman"/>
          <w:sz w:val="20"/>
          <w:szCs w:val="20"/>
          <w:color w:val="auto"/>
        </w:rPr>
        <w:t>Expected maturities may differ from contractual maturities because borrowers may have the right to call or prepay obligations with or without call or prepayment penalties.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investment income</w:t>
      </w:r>
    </w:p>
    <w:p>
      <w:pPr>
        <w:spacing w:after="0" w:line="220"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The following table presents the components of "Net investment income" reported in the Condensed Consolidated Statements of Operations for the three and nine months ended September 30, 2026 and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480" w:type="dxa"/>
            <w:vAlign w:val="bottom"/>
          </w:tcPr>
          <w:p>
            <w:pPr>
              <w:spacing w:after="0"/>
              <w:rPr>
                <w:sz w:val="19"/>
                <w:szCs w:val="19"/>
                <w:color w:val="auto"/>
              </w:rPr>
            </w:pPr>
          </w:p>
        </w:tc>
        <w:tc>
          <w:tcPr>
            <w:tcW w:w="2280" w:type="dxa"/>
            <w:vAlign w:val="bottom"/>
            <w:gridSpan w:val="4"/>
          </w:tcPr>
          <w:p>
            <w:pPr>
              <w:jc w:val="right"/>
              <w:ind w:right="50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98"/>
              </w:rPr>
              <w:t>September 30,</w:t>
            </w:r>
          </w:p>
        </w:tc>
        <w:tc>
          <w:tcPr>
            <w:tcW w:w="480" w:type="dxa"/>
            <w:vAlign w:val="bottom"/>
          </w:tcPr>
          <w:p>
            <w:pPr>
              <w:spacing w:after="0"/>
              <w:rPr>
                <w:sz w:val="21"/>
                <w:szCs w:val="21"/>
                <w:color w:val="auto"/>
              </w:rPr>
            </w:pPr>
          </w:p>
        </w:tc>
        <w:tc>
          <w:tcPr>
            <w:tcW w:w="2280" w:type="dxa"/>
            <w:vAlign w:val="bottom"/>
            <w:gridSpan w:val="4"/>
          </w:tcPr>
          <w:p>
            <w:pPr>
              <w:jc w:val="right"/>
              <w:ind w:right="701"/>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w w:val="99"/>
              </w:rPr>
              <w:t>Cash and cash equivalents and restricted cash and cash equivalents</w:t>
            </w:r>
          </w:p>
        </w:tc>
        <w:tc>
          <w:tcPr>
            <w:tcW w:w="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3,991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8,093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7,267</w:t>
            </w:r>
          </w:p>
        </w:tc>
      </w:tr>
      <w:tr>
        <w:trPr>
          <w:trHeight w:val="257"/>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8,641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7,716</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25,805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21,644</w:t>
            </w:r>
          </w:p>
        </w:tc>
      </w:tr>
      <w:tr>
        <w:trPr>
          <w:trHeight w:val="25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interest income</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12,632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10,259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33,898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28,911</w:t>
            </w:r>
          </w:p>
        </w:tc>
      </w:tr>
      <w:tr>
        <w:trPr>
          <w:trHeight w:val="256"/>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Dividends on equity securities</w:t>
            </w: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5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Gross investment income</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12,851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10,301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34,481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29,032</w:t>
            </w:r>
          </w:p>
        </w:tc>
      </w:tr>
      <w:tr>
        <w:trPr>
          <w:trHeight w:val="257"/>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Investment expenses</w:t>
            </w: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w:t>
            </w:r>
          </w:p>
        </w:tc>
      </w:tr>
      <w:tr>
        <w:trPr>
          <w:trHeight w:val="275"/>
        </w:trPr>
        <w:tc>
          <w:tcPr>
            <w:tcW w:w="5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 investment income</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12,720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10,152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33,986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979"/>
        </w:trPr>
        <w:tc>
          <w:tcPr>
            <w:tcW w:w="5480" w:type="dxa"/>
            <w:vAlign w:val="bottom"/>
          </w:tcPr>
          <w:p>
            <w:pPr>
              <w:spacing w:after="0"/>
              <w:rPr>
                <w:sz w:val="24"/>
                <w:szCs w:val="24"/>
                <w:color w:val="auto"/>
              </w:rPr>
            </w:pPr>
          </w:p>
        </w:tc>
        <w:tc>
          <w:tcPr>
            <w:tcW w:w="46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27</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95"/>
        </w:trPr>
        <w:tc>
          <w:tcPr>
            <w:tcW w:w="5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realized and unrealized gains (losses) on investments</w:t>
      </w:r>
    </w:p>
    <w:p>
      <w:pPr>
        <w:spacing w:after="0" w:line="220"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The table below presents the components of "Net investment gains" reported in the Condensed Consolidated Statements of Operations and the pre-tax change in net unrealized gains (losses) included in the Condensed Consolidated Statements of Comprehensive Income (Loss) for</w:t>
      </w:r>
    </w:p>
    <w:p>
      <w:pPr>
        <w:ind w:right="100"/>
        <w:spacing w:after="0" w:line="242" w:lineRule="auto"/>
        <w:rPr>
          <w:sz w:val="20"/>
          <w:szCs w:val="20"/>
          <w:color w:val="auto"/>
        </w:rPr>
      </w:pPr>
      <w:r>
        <w:rPr>
          <w:rFonts w:ascii="Times New Roman" w:cs="Times New Roman" w:eastAsia="Times New Roman" w:hAnsi="Times New Roman"/>
          <w:sz w:val="19"/>
          <w:szCs w:val="19"/>
          <w:color w:val="auto"/>
        </w:rPr>
        <w:t>the three and nine months ended September 30, 2026 and 2025. The gross amounts of realized investment gains and losses on fixed maturity securities were not material to the Condensed Consolidated Financial Statements and are presented on a net basis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460" w:type="dxa"/>
            <w:vAlign w:val="bottom"/>
          </w:tcPr>
          <w:p>
            <w:pPr>
              <w:spacing w:after="0"/>
              <w:rPr>
                <w:sz w:val="19"/>
                <w:szCs w:val="19"/>
                <w:color w:val="auto"/>
              </w:rPr>
            </w:pPr>
          </w:p>
        </w:tc>
        <w:tc>
          <w:tcPr>
            <w:tcW w:w="230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5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auto"/>
                <w:w w:val="98"/>
              </w:rPr>
              <w:t>September 30,</w:t>
            </w:r>
          </w:p>
        </w:tc>
        <w:tc>
          <w:tcPr>
            <w:tcW w:w="460" w:type="dxa"/>
            <w:vAlign w:val="bottom"/>
          </w:tcPr>
          <w:p>
            <w:pPr>
              <w:spacing w:after="0"/>
              <w:rPr>
                <w:sz w:val="21"/>
                <w:szCs w:val="21"/>
                <w:color w:val="auto"/>
              </w:rPr>
            </w:pPr>
          </w:p>
        </w:tc>
        <w:tc>
          <w:tcPr>
            <w:tcW w:w="230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56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realized investment gains (losses)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347</w:t>
            </w:r>
          </w:p>
        </w:tc>
      </w:tr>
      <w:tr>
        <w:trPr>
          <w:trHeight w:val="257"/>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Equity securities: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change in fair value of equity securities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1,803</w:t>
            </w:r>
          </w:p>
        </w:tc>
      </w:tr>
      <w:tr>
        <w:trPr>
          <w:trHeight w:val="250"/>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0"/>
        </w:trPr>
        <w:tc>
          <w:tcPr>
            <w:tcW w:w="56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Change in net unrealized gains (losses) on available-for-sale</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5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included in Other comprehensive income (loss):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8"/>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Fixed maturity securities</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(18,172)</w:t>
            </w:r>
          </w:p>
        </w:tc>
        <w:tc>
          <w:tcPr>
            <w:tcW w:w="8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80" w:type="dxa"/>
            <w:vAlign w:val="bottom"/>
          </w:tcPr>
          <w:p>
            <w:pPr>
              <w:spacing w:after="0"/>
              <w:rPr>
                <w:sz w:val="22"/>
                <w:szCs w:val="22"/>
                <w:color w:val="auto"/>
              </w:rPr>
            </w:pPr>
          </w:p>
        </w:tc>
        <w:tc>
          <w:tcPr>
            <w:tcW w:w="4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(27,533)</w:t>
            </w:r>
          </w:p>
        </w:tc>
        <w:tc>
          <w:tcPr>
            <w:tcW w:w="8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8,827</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 Fair Value Measurements</w:t>
      </w:r>
    </w:p>
    <w:p>
      <w:pPr>
        <w:spacing w:after="0" w:line="220"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0"/>
          <w:szCs w:val="20"/>
          <w:color w:val="auto"/>
        </w:rPr>
        <w:t>Fair value measurements are classified within one of three levels in the fair value hierarchy. The level assigned to a fair value measurement is based on the lowest level input that management judges to be significant to the fair value measurement in its entirety.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three levels of the fair value hierarchy are as follows:</w:t>
      </w:r>
    </w:p>
    <w:p>
      <w:pPr>
        <w:spacing w:after="0" w:line="216" w:lineRule="exact"/>
        <w:rPr>
          <w:sz w:val="20"/>
          <w:szCs w:val="20"/>
          <w:color w:val="auto"/>
        </w:rPr>
      </w:pPr>
    </w:p>
    <w:p>
      <w:pPr>
        <w:jc w:val="both"/>
        <w:ind w:left="660" w:right="120" w:hanging="328"/>
        <w:spacing w:after="0" w:line="226"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as of the reporting date. Active markets are those in which transactions for the asset or liability occur with sufficient frequency and volume to provide pricing information on an ongoing basis.</w:t>
      </w:r>
    </w:p>
    <w:p>
      <w:pPr>
        <w:spacing w:after="0" w:line="75" w:lineRule="exact"/>
        <w:rPr>
          <w:rFonts w:ascii="Times New Roman" w:cs="Times New Roman" w:eastAsia="Times New Roman" w:hAnsi="Times New Roman"/>
          <w:sz w:val="20"/>
          <w:szCs w:val="20"/>
          <w:color w:val="auto"/>
        </w:rPr>
      </w:pPr>
    </w:p>
    <w:p>
      <w:pPr>
        <w:ind w:left="660" w:right="280" w:hanging="328"/>
        <w:spacing w:after="0" w:line="245"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Level 2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Pricing inputs are other than quoted prices in active markets, which are either directly or indirectly observable as of the reporting date for substantially the full term of the asset or liability.</w:t>
      </w:r>
    </w:p>
    <w:p>
      <w:pPr>
        <w:spacing w:after="0" w:line="70" w:lineRule="exact"/>
        <w:rPr>
          <w:rFonts w:ascii="Times New Roman" w:cs="Times New Roman" w:eastAsia="Times New Roman" w:hAnsi="Times New Roman"/>
          <w:sz w:val="20"/>
          <w:szCs w:val="20"/>
          <w:color w:val="auto"/>
        </w:rPr>
      </w:pPr>
    </w:p>
    <w:p>
      <w:pPr>
        <w:ind w:left="660" w:right="460" w:hanging="328"/>
        <w:spacing w:after="0" w:line="245"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Level 3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Pricing inputs are unobservable, but management believes that such inputs are predicated on the assumptions market participants would use to measure the asset or liability at fair value.</w:t>
      </w:r>
    </w:p>
    <w:p>
      <w:pPr>
        <w:spacing w:after="0" w:line="169"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The Company's policy is to recognize significant transfers between levels, if any, at the end of the reporting period. There were no transfers between levels during the current and prior reporting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06"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9"/>
          <w:szCs w:val="19"/>
          <w:color w:val="auto"/>
        </w:rPr>
        <w:t>The fixed maturity securities held by the Company are classified as Level 2 within the fair value hierarchy and equity securities are classified as Level 1. The fair value of these investments is determined after considering various sources of information, including information</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provided by a third-party pricing service, which provides prices for substantially all of the Company's fixed maturity securities and equity securities. In determining fair value, the Company generally does not adjust the prices obtained from the pricing service. The Company</w:t>
      </w:r>
    </w:p>
    <w:p>
      <w:pPr>
        <w:ind w:right="220"/>
        <w:spacing w:after="0" w:line="228" w:lineRule="auto"/>
        <w:rPr>
          <w:sz w:val="20"/>
          <w:szCs w:val="20"/>
          <w:color w:val="auto"/>
        </w:rPr>
      </w:pPr>
      <w:r>
        <w:rPr>
          <w:rFonts w:ascii="Times New Roman" w:cs="Times New Roman" w:eastAsia="Times New Roman" w:hAnsi="Times New Roman"/>
          <w:sz w:val="20"/>
          <w:szCs w:val="20"/>
          <w:color w:val="auto"/>
        </w:rPr>
        <w:t>obtains an understanding of the pricing service's valuation methodologies and related inputs, which include, but are not limited to, reported trades, benchmark yields, issuer spreads, bids, offers, duration, credit ratings, estimated cash flows, and prepayment speeds.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6 — Investments for additional information related to the Company's investment portfolio.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assets and liabilities measured at fair value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values of the Company's financial assets as of September 30, 2026 and December 31, 2025 are shown in the following tables: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320" w:type="dxa"/>
            <w:vAlign w:val="bottom"/>
            <w:tcBorders>
              <w:bottom w:val="single" w:sz="8" w:color="auto"/>
            </w:tcBorders>
            <w:gridSpan w:val="10"/>
          </w:tcPr>
          <w:p>
            <w:pPr>
              <w:jc w:val="center"/>
              <w:ind w:right="181"/>
              <w:spacing w:after="0"/>
              <w:rPr>
                <w:sz w:val="20"/>
                <w:szCs w:val="20"/>
                <w:color w:val="auto"/>
              </w:rPr>
            </w:pPr>
            <w:r>
              <w:rPr>
                <w:rFonts w:ascii="Times New Roman" w:cs="Times New Roman" w:eastAsia="Times New Roman" w:hAnsi="Times New Roman"/>
                <w:sz w:val="20"/>
                <w:szCs w:val="20"/>
                <w:color w:val="auto"/>
                <w:w w:val="98"/>
              </w:rPr>
              <w:t>Estimated Fair Value as of September 30, 2026</w:t>
            </w:r>
          </w:p>
        </w:tc>
      </w:tr>
      <w:tr>
        <w:trPr>
          <w:trHeight w:val="254"/>
        </w:trPr>
        <w:tc>
          <w:tcPr>
            <w:tcW w:w="5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Level 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Level 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Level 3</w:t>
            </w:r>
          </w:p>
        </w:tc>
      </w:tr>
      <w:tr>
        <w:trPr>
          <w:trHeight w:val="287"/>
        </w:trPr>
        <w:tc>
          <w:tcPr>
            <w:tcW w:w="5640" w:type="dxa"/>
            <w:vAlign w:val="bottom"/>
          </w:tcPr>
          <w:p>
            <w:pPr>
              <w:jc w:val="center"/>
              <w:ind w:right="4481"/>
              <w:spacing w:after="0"/>
              <w:rPr>
                <w:sz w:val="20"/>
                <w:szCs w:val="20"/>
                <w:color w:val="auto"/>
              </w:rPr>
            </w:pPr>
            <w:r>
              <w:rPr>
                <w:rFonts w:ascii="Times New Roman" w:cs="Times New Roman" w:eastAsia="Times New Roman" w:hAnsi="Times New Roman"/>
                <w:sz w:val="20"/>
                <w:szCs w:val="20"/>
                <w:color w:val="auto"/>
                <w:w w:val="99"/>
              </w:rPr>
              <w:t>Investments: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251,571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251,571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Treasury</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100,086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100,086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States and municipalities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30,136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30,136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Asset-backed securities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73,854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73,854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130,960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130,960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Exchange traded funds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84,103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84,103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640" w:type="dxa"/>
            <w:vAlign w:val="bottom"/>
          </w:tcPr>
          <w:p>
            <w:pPr>
              <w:jc w:val="center"/>
              <w:ind w:right="4421"/>
              <w:spacing w:after="0"/>
              <w:rPr>
                <w:sz w:val="20"/>
                <w:szCs w:val="20"/>
                <w:color w:val="auto"/>
              </w:rPr>
            </w:pPr>
            <w:r>
              <w:rPr>
                <w:rFonts w:ascii="Times New Roman" w:cs="Times New Roman" w:eastAsia="Times New Roman" w:hAnsi="Times New Roman"/>
                <w:sz w:val="20"/>
                <w:szCs w:val="20"/>
                <w:color w:val="auto"/>
                <w:w w:val="94"/>
              </w:rPr>
              <w:t>Total</w:t>
            </w: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704,926</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84,103</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620,823</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611"/>
        </w:trPr>
        <w:tc>
          <w:tcPr>
            <w:tcW w:w="5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0"/>
          </w:tcPr>
          <w:p>
            <w:pPr>
              <w:jc w:val="center"/>
              <w:ind w:right="181"/>
              <w:spacing w:after="0"/>
              <w:rPr>
                <w:sz w:val="20"/>
                <w:szCs w:val="20"/>
                <w:color w:val="auto"/>
              </w:rPr>
            </w:pPr>
            <w:r>
              <w:rPr>
                <w:rFonts w:ascii="Times New Roman" w:cs="Times New Roman" w:eastAsia="Times New Roman" w:hAnsi="Times New Roman"/>
                <w:sz w:val="20"/>
                <w:szCs w:val="20"/>
                <w:color w:val="auto"/>
                <w:w w:val="97"/>
              </w:rPr>
              <w:t>Estimated Fair Value as of December 31, 2025</w:t>
            </w:r>
          </w:p>
        </w:tc>
      </w:tr>
      <w:tr>
        <w:trPr>
          <w:trHeight w:val="254"/>
        </w:trPr>
        <w:tc>
          <w:tcPr>
            <w:tcW w:w="5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Level 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Level 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Level 3</w:t>
            </w:r>
          </w:p>
        </w:tc>
      </w:tr>
      <w:tr>
        <w:trPr>
          <w:trHeight w:val="287"/>
        </w:trPr>
        <w:tc>
          <w:tcPr>
            <w:tcW w:w="5640" w:type="dxa"/>
            <w:vAlign w:val="bottom"/>
          </w:tcPr>
          <w:p>
            <w:pPr>
              <w:jc w:val="center"/>
              <w:ind w:right="4481"/>
              <w:spacing w:after="0"/>
              <w:rPr>
                <w:sz w:val="20"/>
                <w:szCs w:val="20"/>
                <w:color w:val="auto"/>
              </w:rPr>
            </w:pPr>
            <w:r>
              <w:rPr>
                <w:rFonts w:ascii="Times New Roman" w:cs="Times New Roman" w:eastAsia="Times New Roman" w:hAnsi="Times New Roman"/>
                <w:sz w:val="20"/>
                <w:szCs w:val="20"/>
                <w:color w:val="auto"/>
                <w:w w:val="99"/>
              </w:rPr>
              <w:t>Investments: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center"/>
              <w:ind w:right="32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Corporate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266,168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266,168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Treasury</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States and municipalities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Asset-backed securities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32,251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32,251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Common stocks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34,871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34,871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640" w:type="dxa"/>
            <w:vAlign w:val="bottom"/>
          </w:tcPr>
          <w:p>
            <w:pPr>
              <w:jc w:val="center"/>
              <w:ind w:right="4421"/>
              <w:spacing w:after="0"/>
              <w:rPr>
                <w:sz w:val="20"/>
                <w:szCs w:val="20"/>
                <w:color w:val="auto"/>
              </w:rPr>
            </w:pPr>
            <w:r>
              <w:rPr>
                <w:rFonts w:ascii="Times New Roman" w:cs="Times New Roman" w:eastAsia="Times New Roman" w:hAnsi="Times New Roman"/>
                <w:sz w:val="20"/>
                <w:szCs w:val="20"/>
                <w:color w:val="auto"/>
                <w:w w:val="94"/>
              </w:rPr>
              <w:t>Total</w:t>
            </w: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731,142</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34,871</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696,271</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 Notes Receivable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Broad Arrow Capital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BAC provides financing solutions to qualified collectors and businesses by structuring and issuing loans secured by collector cars. The loans</w:t>
      </w:r>
    </w:p>
    <w:p>
      <w:pPr>
        <w:spacing w:after="0" w:line="6"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underwritten by BAC include term loans and short-term bridge loans. The loans underwritten by BAC are recorded within "Notes receivable"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 carry either a fixed or variable rate of interest and typically require periodic interest payments over the life of the loan with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principal amount due at maturity. Loans have an initial maturity of up to two years, often with an option for the borrower to renew for one year increments, provided the borrower remains in good standing, including maintaining a specified targeted loan-to-value ("LTV") ratio for</w:t>
      </w:r>
    </w:p>
    <w:p>
      <w:pPr>
        <w:spacing w:after="0" w:line="211" w:lineRule="auto"/>
        <w:rPr>
          <w:sz w:val="20"/>
          <w:szCs w:val="20"/>
          <w:color w:val="auto"/>
        </w:rPr>
      </w:pPr>
      <w:r>
        <w:rPr>
          <w:rFonts w:ascii="Times New Roman" w:cs="Times New Roman" w:eastAsia="Times New Roman" w:hAnsi="Times New Roman"/>
          <w:sz w:val="20"/>
          <w:szCs w:val="20"/>
          <w:color w:val="auto"/>
        </w:rPr>
        <w:t>the loan. The loans underwritten by BAC are classified as Level 3 within the fair value hierarchy, with the carrying values of the loans</w:t>
      </w:r>
    </w:p>
    <w:p>
      <w:pPr>
        <w:ind w:right="500"/>
        <w:spacing w:after="0" w:line="215" w:lineRule="auto"/>
        <w:rPr>
          <w:sz w:val="20"/>
          <w:szCs w:val="20"/>
          <w:color w:val="auto"/>
        </w:rPr>
      </w:pPr>
      <w:r>
        <w:rPr>
          <w:rFonts w:ascii="Times New Roman" w:cs="Times New Roman" w:eastAsia="Times New Roman" w:hAnsi="Times New Roman"/>
          <w:sz w:val="19"/>
          <w:szCs w:val="19"/>
          <w:color w:val="auto"/>
        </w:rPr>
        <w:t>approximating their fair values due to the relatively short-term maturities and the variable interest rates associated with most loans. The lending activities of BAC are funded, in part, with borrowings drawn from the BAC Credit Facility, with the remainder funded by the</w:t>
      </w:r>
    </w:p>
    <w:p>
      <w:pPr>
        <w:spacing w:after="0"/>
        <w:rPr>
          <w:sz w:val="20"/>
          <w:szCs w:val="20"/>
          <w:color w:val="auto"/>
        </w:rPr>
      </w:pPr>
      <w:r>
        <w:rPr>
          <w:rFonts w:ascii="Times New Roman" w:cs="Times New Roman" w:eastAsia="Times New Roman" w:hAnsi="Times New Roman"/>
          <w:sz w:val="20"/>
          <w:szCs w:val="20"/>
          <w:color w:val="auto"/>
        </w:rPr>
        <w:t>Company's available liquidity. Refer to Note 14 — Debt for additional information regarding the BAC Credit Facility.</w:t>
      </w:r>
    </w:p>
    <w:p>
      <w:pPr>
        <w:spacing w:after="0" w:line="194"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BAC aims to mitigate the risk associated with a potential devaluation in collateral by targeting an LTV ratio of 65% or less (i.e., the principal loan amount divided by the estimated value of the collateral at the time of underwriting). The LTV ratio is reassessed on a quarterly basis or</w:t>
      </w:r>
    </w:p>
    <w:p>
      <w:pPr>
        <w:ind w:right="140"/>
        <w:spacing w:after="0" w:line="215" w:lineRule="auto"/>
        <w:rPr>
          <w:sz w:val="20"/>
          <w:szCs w:val="20"/>
          <w:color w:val="auto"/>
        </w:rPr>
      </w:pPr>
      <w:r>
        <w:rPr>
          <w:rFonts w:ascii="Times New Roman" w:cs="Times New Roman" w:eastAsia="Times New Roman" w:hAnsi="Times New Roman"/>
          <w:sz w:val="19"/>
          <w:szCs w:val="19"/>
          <w:color w:val="auto"/>
        </w:rPr>
        <w:t>if the loan is renewed. The LTV ratio is reassessed more frequently if there is a material change in the circumstances related to the loan, including if there is a material change in the value of the collateral, a material change in the borrower's disposal plans for the collateral, or if</w:t>
      </w:r>
    </w:p>
    <w:p>
      <w:pPr>
        <w:spacing w:after="0" w:line="211" w:lineRule="auto"/>
        <w:rPr>
          <w:sz w:val="20"/>
          <w:szCs w:val="20"/>
          <w:color w:val="auto"/>
        </w:rPr>
      </w:pPr>
      <w:r>
        <w:rPr>
          <w:rFonts w:ascii="Times New Roman" w:cs="Times New Roman" w:eastAsia="Times New Roman" w:hAnsi="Times New Roman"/>
          <w:sz w:val="20"/>
          <w:szCs w:val="20"/>
          <w:color w:val="auto"/>
        </w:rPr>
        <w:t>an event of default occurs. If, as a result of this reassessment, the LTV ratio increases above the target level, the borrower may be asked to</w:t>
      </w:r>
    </w:p>
    <w:p>
      <w:pPr>
        <w:ind w:right="120"/>
        <w:spacing w:after="0" w:line="215" w:lineRule="auto"/>
        <w:rPr>
          <w:sz w:val="20"/>
          <w:szCs w:val="20"/>
          <w:color w:val="auto"/>
        </w:rPr>
      </w:pPr>
      <w:r>
        <w:rPr>
          <w:rFonts w:ascii="Times New Roman" w:cs="Times New Roman" w:eastAsia="Times New Roman" w:hAnsi="Times New Roman"/>
          <w:sz w:val="19"/>
          <w:szCs w:val="19"/>
          <w:color w:val="auto"/>
        </w:rPr>
        <w:t>make principal payments and/or post sufficient additional collateral to reduce the LTV ratio as a condition of future financing, renewal, or to avoid a default. In the event of a default by a borrower, BAC is entitled to sell the collateral to recover the outstanding principal, accrued</w:t>
      </w:r>
    </w:p>
    <w:p>
      <w:pPr>
        <w:spacing w:after="0"/>
        <w:rPr>
          <w:sz w:val="20"/>
          <w:szCs w:val="20"/>
          <w:color w:val="auto"/>
        </w:rPr>
      </w:pPr>
      <w:r>
        <w:rPr>
          <w:rFonts w:ascii="Times New Roman" w:cs="Times New Roman" w:eastAsia="Times New Roman" w:hAnsi="Times New Roman"/>
          <w:sz w:val="20"/>
          <w:szCs w:val="20"/>
          <w:color w:val="auto"/>
        </w:rPr>
        <w:t>interest balance, and any expenses incurred with respect to the recovery process.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Management considers the valuation of the underlying collateral and the LTV ratio to be the two most critical credit quality indicators for the</w:t>
      </w:r>
    </w:p>
    <w:p>
      <w:pPr>
        <w:spacing w:after="0" w:line="6"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9"/>
          <w:szCs w:val="19"/>
          <w:color w:val="auto"/>
        </w:rPr>
        <w:t>loans made by BAC. In estimating the value of the underlying collateral for BAC's loans, management utilizes its expertise in the collector car market and considers an array of factors impacting the current and expected sale value of each car including the year, make, model,</w:t>
      </w:r>
    </w:p>
    <w:p>
      <w:pPr>
        <w:ind w:right="120"/>
        <w:spacing w:after="0" w:line="228" w:lineRule="auto"/>
        <w:rPr>
          <w:sz w:val="20"/>
          <w:szCs w:val="20"/>
          <w:color w:val="auto"/>
        </w:rPr>
      </w:pPr>
      <w:r>
        <w:rPr>
          <w:rFonts w:ascii="Times New Roman" w:cs="Times New Roman" w:eastAsia="Times New Roman" w:hAnsi="Times New Roman"/>
          <w:sz w:val="20"/>
          <w:szCs w:val="20"/>
          <w:color w:val="auto"/>
        </w:rPr>
        <w:t>mileage, history, and in the case of classic cars, the provenance, quality of restoration (if applicable), the originality of the body, chassis, and mechanical components, and comparable market transaction values.</w:t>
      </w:r>
    </w:p>
    <w:p>
      <w:pPr>
        <w:spacing w:after="0" w:line="17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9"/>
          <w:szCs w:val="19"/>
          <w:color w:val="auto"/>
        </w:rPr>
        <w:t>The repayment of BAC's loans can be adversely impacted by a borrower's deteriorating financial circumstances, a decline in the collector car market in general or in the value of the collateral, which may be concentrated within certain marques, vintages, or types of cars. In addition,</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in situations when BAC's claim on the collateral is subject to a legal dispute, the ability to realize proceeds from the collateral may be limited or delayed.</w:t>
      </w:r>
    </w:p>
    <w:p>
      <w:pPr>
        <w:spacing w:after="0" w:line="189" w:lineRule="exact"/>
        <w:rPr>
          <w:sz w:val="20"/>
          <w:szCs w:val="20"/>
          <w:color w:val="auto"/>
        </w:rPr>
      </w:pPr>
    </w:p>
    <w:p>
      <w:pPr>
        <w:ind w:right="1180"/>
        <w:spacing w:after="0"/>
        <w:rPr>
          <w:sz w:val="20"/>
          <w:szCs w:val="20"/>
          <w:color w:val="auto"/>
        </w:rPr>
      </w:pPr>
      <w:r>
        <w:rPr>
          <w:rFonts w:ascii="Times New Roman" w:cs="Times New Roman" w:eastAsia="Times New Roman" w:hAnsi="Times New Roman"/>
          <w:sz w:val="20"/>
          <w:szCs w:val="20"/>
          <w:color w:val="auto"/>
        </w:rPr>
        <w:t>As of September 30, 2026 and December 31, 2025, BAC's net Notes receivable balance was approximately $163.6 million and $104.3 million, respectively, including accrued interest.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provides the aggregate LTV ratio for BAC's loan portfolio as of September 30, 2026 and December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September 30,</w:t>
            </w:r>
          </w:p>
        </w:tc>
        <w:tc>
          <w:tcPr>
            <w:tcW w:w="240" w:type="dxa"/>
            <w:vAlign w:val="bottom"/>
          </w:tcPr>
          <w:p>
            <w:pPr>
              <w:spacing w:after="0"/>
              <w:rPr>
                <w:sz w:val="22"/>
                <w:szCs w:val="22"/>
                <w:color w:val="auto"/>
              </w:rPr>
            </w:pPr>
          </w:p>
        </w:tc>
        <w:tc>
          <w:tcPr>
            <w:tcW w:w="15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December 31,</w:t>
            </w:r>
          </w:p>
        </w:tc>
      </w:tr>
      <w:tr>
        <w:trPr>
          <w:trHeight w:val="262"/>
        </w:trPr>
        <w:tc>
          <w:tcPr>
            <w:tcW w:w="7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rPr>
              <w:t>2025</w:t>
            </w:r>
          </w:p>
        </w:tc>
      </w:tr>
      <w:tr>
        <w:trPr>
          <w:trHeight w:val="291"/>
        </w:trPr>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4"/>
          </w:tcPr>
          <w:p>
            <w:pPr>
              <w:jc w:val="right"/>
              <w:ind w:right="1261"/>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26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Secured loans</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162,254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103,338</w:t>
            </w:r>
          </w:p>
        </w:tc>
      </w:tr>
      <w:tr>
        <w:trPr>
          <w:trHeight w:val="257"/>
        </w:trPr>
        <w:tc>
          <w:tcPr>
            <w:tcW w:w="7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Estimate of collateral value</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318,902</w:t>
            </w:r>
          </w:p>
        </w:tc>
        <w:tc>
          <w:tcPr>
            <w:tcW w:w="8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199,628</w:t>
            </w:r>
          </w:p>
        </w:tc>
      </w:tr>
      <w:tr>
        <w:trPr>
          <w:trHeight w:val="25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Aggregate LTV ratio</w:t>
            </w: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50.9 %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51.8 %</w:t>
            </w:r>
          </w:p>
        </w:tc>
      </w:tr>
    </w:tbl>
    <w:p>
      <w:pPr>
        <w:spacing w:after="0" w:line="301"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Management considers a loan to be past due when an interest payment is not paid within 10 business days of the monthly due date, or if the principal amount is not repaid by the contractual maturity date. Typically, a loan becomes past due only for a short period of time during</w:t>
      </w:r>
    </w:p>
    <w:p>
      <w:pPr>
        <w:ind w:right="280"/>
        <w:spacing w:after="0" w:line="228" w:lineRule="auto"/>
        <w:rPr>
          <w:sz w:val="20"/>
          <w:szCs w:val="20"/>
          <w:color w:val="auto"/>
        </w:rPr>
      </w:pPr>
      <w:r>
        <w:rPr>
          <w:rFonts w:ascii="Times New Roman" w:cs="Times New Roman" w:eastAsia="Times New Roman" w:hAnsi="Times New Roman"/>
          <w:sz w:val="20"/>
          <w:szCs w:val="20"/>
          <w:color w:val="auto"/>
        </w:rPr>
        <w:t>which the loan is renewed or collateral is sold to satisfy the borrower's obligations. As of September 30, 2026 and December 31, 2025, the amount of past due principal and interest payments was not material.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non-accrual loan is a loan for which future finance revenue is not recorded due to management's determination that it is probable that</w:t>
      </w:r>
    </w:p>
    <w:p>
      <w:pPr>
        <w:ind w:right="220"/>
        <w:spacing w:after="0" w:line="215" w:lineRule="auto"/>
        <w:rPr>
          <w:sz w:val="20"/>
          <w:szCs w:val="20"/>
          <w:color w:val="auto"/>
        </w:rPr>
      </w:pPr>
      <w:r>
        <w:rPr>
          <w:rFonts w:ascii="Times New Roman" w:cs="Times New Roman" w:eastAsia="Times New Roman" w:hAnsi="Times New Roman"/>
          <w:sz w:val="19"/>
          <w:szCs w:val="19"/>
          <w:color w:val="auto"/>
        </w:rPr>
        <w:t>future interest on the loan will not be collectible. When a loan is placed on non-accrual status, any accrued interest receivable deemed not collectible is reversed against finance revenue. Any cash receipts subsequently received on non-accrual loans are first applied to reduce the</w:t>
      </w:r>
    </w:p>
    <w:p>
      <w:pPr>
        <w:ind w:right="40"/>
        <w:spacing w:after="0" w:line="228" w:lineRule="auto"/>
        <w:rPr>
          <w:sz w:val="20"/>
          <w:szCs w:val="20"/>
          <w:color w:val="auto"/>
        </w:rPr>
      </w:pPr>
      <w:r>
        <w:rPr>
          <w:rFonts w:ascii="Times New Roman" w:cs="Times New Roman" w:eastAsia="Times New Roman" w:hAnsi="Times New Roman"/>
          <w:sz w:val="20"/>
          <w:szCs w:val="20"/>
          <w:color w:val="auto"/>
        </w:rPr>
        <w:t>recorded principal balance of the loan, with any proceeds in excess of the principal balance then applied to interest and expenses owed by the borrower. As of September 30, 2026 and December 31, 2025, there were no non-accrual loans.</w:t>
      </w:r>
    </w:p>
    <w:p>
      <w:pPr>
        <w:spacing w:after="0" w:line="176"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9"/>
          <w:szCs w:val="19"/>
          <w:color w:val="auto"/>
        </w:rPr>
        <w:t>As of September 30, 2026 and December 31, 2025, there was no allowance for expected credit losses related to the BAC loan portfolio based on management's quarterly evaluation, which takes into consideration a number of factors including the level of historical losses for similar</w:t>
      </w:r>
    </w:p>
    <w:p>
      <w:pPr>
        <w:spacing w:after="0" w:line="1"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20"/>
          <w:szCs w:val="20"/>
          <w:color w:val="auto"/>
        </w:rPr>
        <w:t>loans, the quality of the collateral, the low LTV ratio of the loans, management's overall assessment of the current circumstances and risks related to each loan, and, to a lesser extent, the circumstances related to each borrower.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Notes Receivable</w:t>
      </w:r>
    </w:p>
    <w:p>
      <w:pPr>
        <w:spacing w:after="0" w:line="220"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20"/>
          <w:szCs w:val="20"/>
          <w:color w:val="auto"/>
        </w:rPr>
        <w:t>From time-to-time, Broad Arrow provides short-term financing to its auction or private sale buyers in situations when the terms or length of financing may not qualify and/or is too short to fund efficiently with a BAC loan. The resulting loans are typically interest-bearing with</w:t>
      </w:r>
    </w:p>
    <w:p>
      <w:pPr>
        <w:spacing w:after="0" w:line="212" w:lineRule="auto"/>
        <w:rPr>
          <w:sz w:val="20"/>
          <w:szCs w:val="20"/>
          <w:color w:val="auto"/>
        </w:rPr>
      </w:pPr>
      <w:r>
        <w:rPr>
          <w:rFonts w:ascii="Times New Roman" w:cs="Times New Roman" w:eastAsia="Times New Roman" w:hAnsi="Times New Roman"/>
          <w:sz w:val="20"/>
          <w:szCs w:val="20"/>
          <w:color w:val="auto"/>
        </w:rPr>
        <w:t>required periodic interest payments and, in certain cases, required periodic principal payments. Broad Arrow typically retains a security</w:t>
      </w:r>
    </w:p>
    <w:p>
      <w:pPr>
        <w:spacing w:after="0" w:line="1"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20"/>
          <w:szCs w:val="20"/>
          <w:color w:val="auto"/>
        </w:rPr>
        <w:t>interest in the vehicle(s) related to these loans. There were no Notes receivable balances related to these loans as of September 30, 2026. As of December 31, 2025, the Notes receivable balance related to these loans was $8.9 million, including accrued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Broad Arrow also makes consignor advances secured by vehicle(s) that are contractually committed, in the near term, to be offered for sale at</w:t>
      </w:r>
    </w:p>
    <w:p>
      <w:pPr>
        <w:spacing w:after="0" w:line="6"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auction or as a private sale. Consignor advances allow sellers to receive funds upon consignment for an auction or for a private sale that will occur up to one year in the future and normally have short-term maturities. In the event the vehicle(s) are not successfully sold at auction or</w:t>
      </w:r>
    </w:p>
    <w:p>
      <w:pPr>
        <w:spacing w:after="0" w:line="211" w:lineRule="auto"/>
        <w:rPr>
          <w:sz w:val="20"/>
          <w:szCs w:val="20"/>
          <w:color w:val="auto"/>
        </w:rPr>
      </w:pPr>
      <w:r>
        <w:rPr>
          <w:rFonts w:ascii="Times New Roman" w:cs="Times New Roman" w:eastAsia="Times New Roman" w:hAnsi="Times New Roman"/>
          <w:sz w:val="20"/>
          <w:szCs w:val="20"/>
          <w:color w:val="auto"/>
        </w:rPr>
        <w:t>in a private sale, the consignor is required to repay the outstanding principal and accrued interest of the advance or convert the advance to a</w:t>
      </w:r>
    </w:p>
    <w:p>
      <w:pPr>
        <w:ind w:right="120"/>
        <w:spacing w:after="0" w:line="221" w:lineRule="auto"/>
        <w:rPr>
          <w:sz w:val="20"/>
          <w:szCs w:val="20"/>
          <w:color w:val="auto"/>
        </w:rPr>
      </w:pPr>
      <w:r>
        <w:rPr>
          <w:rFonts w:ascii="Times New Roman" w:cs="Times New Roman" w:eastAsia="Times New Roman" w:hAnsi="Times New Roman"/>
          <w:sz w:val="20"/>
          <w:szCs w:val="20"/>
          <w:color w:val="auto"/>
        </w:rPr>
        <w:t>BAC loan. As of September 30, 2026 and December 31, 2025, the outstanding Notes receivable balance associated with consignor advances was $4.5 million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certain circumstances, Broad Arrow also provides loans to certain well-established car dealers to finance the purchase of vehicle(s),</w:t>
      </w:r>
    </w:p>
    <w:p>
      <w:pPr>
        <w:ind w:right="80"/>
        <w:spacing w:after="0" w:line="215" w:lineRule="auto"/>
        <w:rPr>
          <w:sz w:val="20"/>
          <w:szCs w:val="20"/>
          <w:color w:val="auto"/>
        </w:rPr>
      </w:pPr>
      <w:r>
        <w:rPr>
          <w:rFonts w:ascii="Times New Roman" w:cs="Times New Roman" w:eastAsia="Times New Roman" w:hAnsi="Times New Roman"/>
          <w:sz w:val="19"/>
          <w:szCs w:val="19"/>
          <w:color w:val="auto"/>
        </w:rPr>
        <w:t>retaining a security interest in the purchased vehicle. In certain situations, Broad Arrow acquires a partial ownership interest in the vehicle(s) in addition to providing the loan. Upon the eventual sale of the acquired vehicle(s), the loan is repaid and Broad Arrow retains a pro rata</w:t>
      </w:r>
    </w:p>
    <w:p>
      <w:pPr>
        <w:spacing w:after="0" w:line="211" w:lineRule="auto"/>
        <w:rPr>
          <w:sz w:val="20"/>
          <w:szCs w:val="20"/>
          <w:color w:val="auto"/>
        </w:rPr>
      </w:pPr>
      <w:r>
        <w:rPr>
          <w:rFonts w:ascii="Times New Roman" w:cs="Times New Roman" w:eastAsia="Times New Roman" w:hAnsi="Times New Roman"/>
          <w:sz w:val="20"/>
          <w:szCs w:val="20"/>
          <w:color w:val="auto"/>
        </w:rPr>
        <w:t>share of the profit(s) or loss(es). There was no outstanding Notes receivable balances associated with these loans as of September 30, 2026.</w:t>
      </w:r>
    </w:p>
    <w:p>
      <w:pPr>
        <w:spacing w:after="0"/>
        <w:rPr>
          <w:sz w:val="20"/>
          <w:szCs w:val="20"/>
          <w:color w:val="auto"/>
        </w:rPr>
      </w:pPr>
      <w:r>
        <w:rPr>
          <w:rFonts w:ascii="Times New Roman" w:cs="Times New Roman" w:eastAsia="Times New Roman" w:hAnsi="Times New Roman"/>
          <w:sz w:val="20"/>
          <w:szCs w:val="20"/>
          <w:color w:val="auto"/>
        </w:rPr>
        <w:t>As of December 31, 2025, the Notes receivable balance related to these loans was $0.6 million.</w:t>
      </w:r>
    </w:p>
    <w:p>
      <w:pPr>
        <w:spacing w:after="0" w:line="180"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These loans are classified in the Condensed Consolidated Statements of Cash Flows within Operating Activities as they are made in support of Broad Arrow's auction and private sale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Risk</w:t>
      </w:r>
    </w:p>
    <w:p>
      <w:pPr>
        <w:spacing w:after="0" w:line="206"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20"/>
          <w:szCs w:val="20"/>
          <w:color w:val="auto"/>
        </w:rPr>
        <w:t>As of September 30, 2026, there was one borrower with a combined loan balance that exceeded 10% of the total notes receivable balance, with a combined loan balance of $20.0 million, representing 12.0% of the total portfolio. As of September 30, 2026, the collateral value related to this borrower was $40.1 million, resulting in an LTV ratio of 49.9%.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 — Other Assets</w:t>
            </w: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4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w w:val="99"/>
              </w:rPr>
              <w:t>As of September 30, 2026 and December 31, 2025, other assets consisted of:</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8"/>
        </w:trPr>
        <w:tc>
          <w:tcPr>
            <w:tcW w:w="6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September 30,</w:t>
            </w:r>
          </w:p>
        </w:tc>
        <w:tc>
          <w:tcPr>
            <w:tcW w:w="200" w:type="dxa"/>
            <w:vAlign w:val="bottom"/>
          </w:tcPr>
          <w:p>
            <w:pPr>
              <w:spacing w:after="0"/>
              <w:rPr>
                <w:sz w:val="24"/>
                <w:szCs w:val="24"/>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r>
      <w:tr>
        <w:trPr>
          <w:trHeight w:val="262"/>
        </w:trPr>
        <w:tc>
          <w:tcPr>
            <w:tcW w:w="6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r>
      <w:tr>
        <w:trPr>
          <w:trHeight w:val="290"/>
        </w:trPr>
        <w:tc>
          <w:tcPr>
            <w:tcW w:w="6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4"/>
          </w:tcPr>
          <w:p>
            <w:pPr>
              <w:jc w:val="right"/>
              <w:ind w:right="1121"/>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26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Capitalized software-as-a-service ("SaaS") implementation costs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61,639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56,971</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Prepaid selling, general, and administrative expenses</w:t>
            </w: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21,135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20,707</w:t>
            </w:r>
          </w:p>
        </w:tc>
      </w:tr>
      <w:tr>
        <w:trPr>
          <w:trHeight w:val="256"/>
        </w:trPr>
        <w:tc>
          <w:tcPr>
            <w:tcW w:w="612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Inventory </w:t>
            </w:r>
            <w:r>
              <w:rPr>
                <w:rFonts w:ascii="Times New Roman" w:cs="Times New Roman" w:eastAsia="Times New Roman" w:hAnsi="Times New Roman"/>
                <w:sz w:val="25"/>
                <w:szCs w:val="25"/>
                <w:color w:val="auto"/>
                <w:vertAlign w:val="superscript"/>
              </w:rPr>
              <w:t>(1)</w:t>
            </w: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34,771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12,410</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16,253</w:t>
            </w:r>
          </w:p>
        </w:tc>
      </w:tr>
      <w:tr>
        <w:trPr>
          <w:trHeight w:val="257"/>
        </w:trPr>
        <w:tc>
          <w:tcPr>
            <w:tcW w:w="612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Lease right-of-use assets </w:t>
            </w:r>
            <w:r>
              <w:rPr>
                <w:rFonts w:ascii="Times New Roman" w:cs="Times New Roman" w:eastAsia="Times New Roman" w:hAnsi="Times New Roman"/>
                <w:sz w:val="25"/>
                <w:szCs w:val="25"/>
                <w:color w:val="auto"/>
                <w:vertAlign w:val="superscript"/>
              </w:rPr>
              <w:t>(2)</w:t>
            </w: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34,874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40,657</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Contract assets</w:t>
            </w: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18,233</w:t>
            </w:r>
          </w:p>
        </w:tc>
      </w:tr>
      <w:tr>
        <w:trPr>
          <w:trHeight w:val="25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Costs to obtain contracts with customers</w:t>
            </w: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7,994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9,965</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Ceded commission receivable</w:t>
            </w: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8,004</w:t>
            </w:r>
          </w:p>
        </w:tc>
      </w:tr>
      <w:tr>
        <w:trPr>
          <w:trHeight w:val="256"/>
        </w:trPr>
        <w:tc>
          <w:tcPr>
            <w:tcW w:w="612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Other investments </w:t>
            </w:r>
            <w:r>
              <w:rPr>
                <w:rFonts w:ascii="Times New Roman" w:cs="Times New Roman" w:eastAsia="Times New Roman" w:hAnsi="Times New Roman"/>
                <w:sz w:val="25"/>
                <w:szCs w:val="25"/>
                <w:color w:val="auto"/>
                <w:vertAlign w:val="superscript"/>
              </w:rPr>
              <w:t>(3)</w:t>
            </w: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10,896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10,135</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investment income</w:t>
            </w: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5,613</w:t>
            </w:r>
          </w:p>
        </w:tc>
      </w:tr>
      <w:tr>
        <w:trPr>
          <w:trHeight w:val="25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Deferred financing costs related to revolving credit facilities</w:t>
            </w: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3,707</w:t>
            </w:r>
          </w:p>
        </w:tc>
      </w:tr>
      <w:tr>
        <w:trPr>
          <w:trHeight w:val="257"/>
        </w:trPr>
        <w:tc>
          <w:tcPr>
            <w:tcW w:w="6120" w:type="dxa"/>
            <w:vAlign w:val="bottom"/>
            <w:tcBorders>
              <w:bottom w:val="single" w:sz="8" w:color="CCEEFF"/>
            </w:tcBorders>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5"/>
                <w:szCs w:val="25"/>
                <w:color w:val="auto"/>
                <w:vertAlign w:val="superscript"/>
              </w:rPr>
              <w:t>(4)</w:t>
            </w:r>
          </w:p>
        </w:tc>
        <w:tc>
          <w:tcPr>
            <w:tcW w:w="16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8,688</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5,331</w:t>
            </w:r>
          </w:p>
        </w:tc>
      </w:tr>
      <w:tr>
        <w:trPr>
          <w:trHeight w:val="275"/>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assets</w:t>
            </w:r>
          </w:p>
        </w:tc>
        <w:tc>
          <w:tcPr>
            <w:tcW w:w="1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223,556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207,986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ind w:left="440" w:hanging="270"/>
        <w:spacing w:after="0" w:line="198" w:lineRule="auto"/>
        <w:tabs>
          <w:tab w:leader="none" w:pos="44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Inventory primarily includes vehicles owned by Broad Arrow that have been purchased for resale purposes.</w:t>
      </w:r>
    </w:p>
    <w:p>
      <w:pPr>
        <w:ind w:left="440" w:hanging="270"/>
        <w:spacing w:after="0" w:line="187" w:lineRule="auto"/>
        <w:tabs>
          <w:tab w:leader="none" w:pos="44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Refer to Note 10 — Leases for additional information.</w:t>
      </w:r>
    </w:p>
    <w:p>
      <w:pPr>
        <w:ind w:left="440" w:hanging="270"/>
        <w:spacing w:after="0" w:line="183" w:lineRule="auto"/>
        <w:tabs>
          <w:tab w:leader="none" w:pos="44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Other investments includes strategic investments, which are classified as Level 3 within the fair value hierarchy. Based on the nature and size of these investments,</w:t>
      </w:r>
    </w:p>
    <w:p>
      <w:pPr>
        <w:ind w:left="420"/>
        <w:spacing w:after="0" w:line="185" w:lineRule="auto"/>
        <w:rPr>
          <w:sz w:val="20"/>
          <w:szCs w:val="20"/>
          <w:color w:val="auto"/>
        </w:rPr>
      </w:pPr>
      <w:r>
        <w:rPr>
          <w:rFonts w:ascii="Times New Roman" w:cs="Times New Roman" w:eastAsia="Times New Roman" w:hAnsi="Times New Roman"/>
          <w:sz w:val="14"/>
          <w:szCs w:val="14"/>
          <w:color w:val="auto"/>
        </w:rPr>
        <w:t>the carrying values approximate their fair values.</w:t>
      </w:r>
    </w:p>
    <w:p>
      <w:pPr>
        <w:spacing w:after="0" w:line="20" w:lineRule="exact"/>
        <w:rPr>
          <w:sz w:val="20"/>
          <w:szCs w:val="20"/>
          <w:color w:val="auto"/>
        </w:rPr>
      </w:pPr>
    </w:p>
    <w:p>
      <w:pPr>
        <w:jc w:val="both"/>
        <w:ind w:left="420" w:right="520" w:hanging="250"/>
        <w:spacing w:after="0" w:line="192" w:lineRule="auto"/>
        <w:tabs>
          <w:tab w:leader="none" w:pos="455"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of September 30, 2026, Other primarily included a $3.4 million claims reimbursement owed by a ceding insurance carrier, $2.7 million of collector vehicle investments, $1.2 million of business tax recoverables, and $1.0 million related to capitalized digital media content. As of December 31, 2025, Other primarily included $2.7 million of collector vehicle investments, $1.4 million related to capitalized digital media content, and $1.0 million of business tax recoverables.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 Leases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components of the Company's operating lease expense for the three and nine months ended</w:t>
      </w:r>
    </w:p>
    <w:p>
      <w:pPr>
        <w:spacing w:after="0"/>
        <w:rPr>
          <w:sz w:val="20"/>
          <w:szCs w:val="20"/>
          <w:color w:val="auto"/>
        </w:rPr>
      </w:pPr>
      <w:r>
        <w:rPr>
          <w:rFonts w:ascii="Times New Roman" w:cs="Times New Roman" w:eastAsia="Times New Roman" w:hAnsi="Times New Roman"/>
          <w:sz w:val="20"/>
          <w:szCs w:val="20"/>
          <w:color w:val="auto"/>
        </w:rPr>
        <w:t>September 30, 2026 and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Three months ended</w:t>
            </w:r>
          </w:p>
        </w:tc>
        <w:tc>
          <w:tcPr>
            <w:tcW w:w="480" w:type="dxa"/>
            <w:vAlign w:val="bottom"/>
          </w:tcPr>
          <w:p>
            <w:pPr>
              <w:spacing w:after="0"/>
              <w:rPr>
                <w:sz w:val="19"/>
                <w:szCs w:val="19"/>
                <w:color w:val="auto"/>
              </w:rPr>
            </w:pPr>
          </w:p>
        </w:tc>
        <w:tc>
          <w:tcPr>
            <w:tcW w:w="228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4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20"/>
                <w:szCs w:val="20"/>
                <w:color w:val="auto"/>
              </w:rPr>
              <w:t>September 30,</w:t>
            </w:r>
          </w:p>
        </w:tc>
        <w:tc>
          <w:tcPr>
            <w:tcW w:w="480" w:type="dxa"/>
            <w:vAlign w:val="bottom"/>
          </w:tcPr>
          <w:p>
            <w:pPr>
              <w:spacing w:after="0"/>
              <w:rPr>
                <w:sz w:val="21"/>
                <w:szCs w:val="21"/>
                <w:color w:val="auto"/>
              </w:rPr>
            </w:pPr>
          </w:p>
        </w:tc>
        <w:tc>
          <w:tcPr>
            <w:tcW w:w="228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4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4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0"/>
        </w:trPr>
        <w:tc>
          <w:tcPr>
            <w:tcW w:w="5660" w:type="dxa"/>
            <w:vAlign w:val="bottom"/>
            <w:gridSpan w:val="2"/>
            <w:shd w:val="clear" w:color="auto" w:fill="CCEEFF"/>
          </w:tcPr>
          <w:p>
            <w:pPr>
              <w:ind w:left="20"/>
              <w:spacing w:after="0" w:line="260" w:lineRule="exact"/>
              <w:rPr>
                <w:sz w:val="20"/>
                <w:szCs w:val="20"/>
                <w:color w:val="auto"/>
              </w:rPr>
            </w:pPr>
            <w:r>
              <w:rPr>
                <w:rFonts w:ascii="Times New Roman" w:cs="Times New Roman" w:eastAsia="Times New Roman" w:hAnsi="Times New Roman"/>
                <w:sz w:val="20"/>
                <w:szCs w:val="20"/>
                <w:color w:val="auto"/>
              </w:rPr>
              <w:t xml:space="preserve">Operating lease expense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2,105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6,279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6,590</w:t>
            </w:r>
          </w:p>
        </w:tc>
      </w:tr>
      <w:tr>
        <w:trPr>
          <w:trHeight w:val="257"/>
        </w:trPr>
        <w:tc>
          <w:tcPr>
            <w:tcW w:w="566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Variable lease expense </w:t>
            </w:r>
            <w:r>
              <w:rPr>
                <w:rFonts w:ascii="Times New Roman" w:cs="Times New Roman" w:eastAsia="Times New Roman" w:hAnsi="Times New Roman"/>
                <w:sz w:val="25"/>
                <w:szCs w:val="25"/>
                <w:color w:val="auto"/>
                <w:vertAlign w:val="superscript"/>
              </w:rPr>
              <w:t>(1) (2)</w:t>
            </w:r>
          </w:p>
        </w:tc>
        <w:tc>
          <w:tcPr>
            <w:tcW w:w="280" w:type="dxa"/>
            <w:vAlign w:val="bottom"/>
          </w:tcPr>
          <w:p>
            <w:pPr>
              <w:spacing w:after="0"/>
              <w:rPr>
                <w:sz w:val="22"/>
                <w:szCs w:val="22"/>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1,038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3,209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w:t>
            </w:r>
          </w:p>
        </w:tc>
      </w:tr>
      <w:tr>
        <w:trPr>
          <w:trHeight w:val="257"/>
        </w:trPr>
        <w:tc>
          <w:tcPr>
            <w:tcW w:w="566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Sublease revenue </w:t>
            </w:r>
            <w:r>
              <w:rPr>
                <w:rFonts w:ascii="Times New Roman" w:cs="Times New Roman" w:eastAsia="Times New Roman" w:hAnsi="Times New Roman"/>
                <w:sz w:val="25"/>
                <w:szCs w:val="25"/>
                <w:color w:val="auto"/>
                <w:vertAlign w:val="superscript"/>
              </w:rPr>
              <w:t>(3)</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20"/>
                <w:szCs w:val="20"/>
                <w:color w:val="auto"/>
                <w:w w:val="96"/>
              </w:rPr>
              <w:t>(297)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(746)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(809)</w:t>
            </w:r>
          </w:p>
        </w:tc>
      </w:tr>
      <w:tr>
        <w:trPr>
          <w:trHeight w:val="25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Lease cost, net</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2,846</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3,103</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8,742</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8,542</w:t>
            </w:r>
          </w:p>
        </w:tc>
      </w:tr>
      <w:tr>
        <w:trPr>
          <w:trHeight w:val="21"/>
        </w:trPr>
        <w:tc>
          <w:tcPr>
            <w:tcW w:w="4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ind w:left="440" w:hanging="270"/>
        <w:spacing w:after="0" w:line="198" w:lineRule="auto"/>
        <w:tabs>
          <w:tab w:leader="none" w:pos="44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Classified within "Selling, general, and administrative expenses" in the Condensed Consolidated Statements of Operations.</w:t>
      </w:r>
    </w:p>
    <w:p>
      <w:pPr>
        <w:ind w:left="440" w:hanging="270"/>
        <w:spacing w:after="0" w:line="183" w:lineRule="auto"/>
        <w:tabs>
          <w:tab w:leader="none" w:pos="44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maintenance, taxes, insurance, and payments affected by the Consumer Price Index.</w:t>
      </w:r>
    </w:p>
    <w:p>
      <w:pPr>
        <w:ind w:left="440" w:hanging="270"/>
        <w:spacing w:after="0" w:line="182" w:lineRule="auto"/>
        <w:tabs>
          <w:tab w:leader="none" w:pos="44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Classified within "Membership and other revenue" in the Condensed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supplemental balance sheet information related to operating leases as of September 30, 2026 and</w:t>
      </w: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September 30,</w:t>
            </w:r>
          </w:p>
        </w:tc>
        <w:tc>
          <w:tcPr>
            <w:tcW w:w="220" w:type="dxa"/>
            <w:vAlign w:val="bottom"/>
          </w:tcPr>
          <w:p>
            <w:pPr>
              <w:spacing w:after="0"/>
              <w:rPr>
                <w:sz w:val="22"/>
                <w:szCs w:val="22"/>
                <w:color w:val="auto"/>
              </w:rPr>
            </w:pPr>
          </w:p>
        </w:tc>
        <w:tc>
          <w:tcPr>
            <w:tcW w:w="15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December 31,</w:t>
            </w:r>
          </w:p>
        </w:tc>
      </w:tr>
      <w:tr>
        <w:trPr>
          <w:trHeight w:val="262"/>
        </w:trPr>
        <w:tc>
          <w:tcPr>
            <w:tcW w:w="7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2025</w:t>
            </w:r>
          </w:p>
        </w:tc>
      </w:tr>
      <w:tr>
        <w:trPr>
          <w:trHeight w:val="291"/>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gridSpan w:val="4"/>
          </w:tcPr>
          <w:p>
            <w:pPr>
              <w:jc w:val="right"/>
              <w:ind w:right="881"/>
              <w:spacing w:after="0"/>
              <w:rPr>
                <w:sz w:val="20"/>
                <w:szCs w:val="20"/>
                <w:color w:val="auto"/>
              </w:rPr>
            </w:pPr>
            <w:r>
              <w:rPr>
                <w:rFonts w:ascii="Times New Roman" w:cs="Times New Roman" w:eastAsia="Times New Roman" w:hAnsi="Times New Roman"/>
                <w:sz w:val="20"/>
                <w:szCs w:val="20"/>
                <w:i w:val="1"/>
                <w:iCs w:val="1"/>
                <w:color w:val="auto"/>
              </w:rPr>
              <w:t>dollars in thousands</w:t>
            </w:r>
          </w:p>
        </w:tc>
      </w:tr>
      <w:tr>
        <w:trPr>
          <w:trHeight w:val="26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ROU assets obtained in exchange for new operating lease liabilities during the period</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926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2,446</w:t>
            </w:r>
          </w:p>
        </w:tc>
      </w:tr>
      <w:tr>
        <w:trPr>
          <w:trHeight w:val="256"/>
        </w:trPr>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 average lease term (in years)</w:t>
            </w:r>
          </w:p>
        </w:tc>
        <w:tc>
          <w:tcPr>
            <w:tcW w:w="220" w:type="dxa"/>
            <w:vAlign w:val="bottom"/>
          </w:tcPr>
          <w:p>
            <w:pPr>
              <w:spacing w:after="0"/>
              <w:rPr>
                <w:sz w:val="22"/>
                <w:szCs w:val="22"/>
                <w:color w:val="auto"/>
              </w:rPr>
            </w:pP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6.95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7.48</w:t>
            </w: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5.1 %</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the amount and timing of the Company's future operating lease commitments as of</w:t>
      </w:r>
    </w:p>
    <w:p>
      <w:pPr>
        <w:spacing w:after="0"/>
        <w:rPr>
          <w:sz w:val="20"/>
          <w:szCs w:val="20"/>
          <w:color w:val="auto"/>
        </w:rPr>
      </w:pPr>
      <w:r>
        <w:rPr>
          <w:rFonts w:ascii="Times New Roman" w:cs="Times New Roman" w:eastAsia="Times New Roman" w:hAnsi="Times New Roman"/>
          <w:sz w:val="20"/>
          <w:szCs w:val="20"/>
          <w:color w:val="auto"/>
        </w:rPr>
        <w:t>September 30, 2026: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6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1"/>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0" w:type="dxa"/>
            <w:vAlign w:val="bottom"/>
          </w:tcPr>
          <w:p>
            <w:pPr>
              <w:spacing w:after="0"/>
              <w:rPr>
                <w:sz w:val="1"/>
                <w:szCs w:val="1"/>
                <w:color w:val="auto"/>
              </w:rPr>
            </w:pPr>
          </w:p>
        </w:tc>
      </w:tr>
      <w:tr>
        <w:trPr>
          <w:trHeight w:val="26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2026 - remaining</w:t>
            </w:r>
          </w:p>
        </w:tc>
        <w:tc>
          <w:tcPr>
            <w:tcW w:w="6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2,206</w:t>
            </w:r>
          </w:p>
        </w:tc>
        <w:tc>
          <w:tcPr>
            <w:tcW w:w="0" w:type="dxa"/>
            <w:vAlign w:val="bottom"/>
          </w:tcPr>
          <w:p>
            <w:pPr>
              <w:spacing w:after="0"/>
              <w:rPr>
                <w:sz w:val="1"/>
                <w:szCs w:val="1"/>
                <w:color w:val="auto"/>
              </w:rPr>
            </w:pPr>
          </w:p>
        </w:tc>
      </w:tr>
      <w:tr>
        <w:trPr>
          <w:trHeight w:val="256"/>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5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8,816</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5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8,669</w:t>
            </w:r>
          </w:p>
        </w:tc>
        <w:tc>
          <w:tcPr>
            <w:tcW w:w="0" w:type="dxa"/>
            <w:vAlign w:val="bottom"/>
          </w:tcPr>
          <w:p>
            <w:pPr>
              <w:spacing w:after="0"/>
              <w:rPr>
                <w:sz w:val="1"/>
                <w:szCs w:val="1"/>
                <w:color w:val="auto"/>
              </w:rPr>
            </w:pPr>
          </w:p>
        </w:tc>
      </w:tr>
      <w:tr>
        <w:trPr>
          <w:trHeight w:val="256"/>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5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6,833</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5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5,544</w:t>
            </w: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5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17,568</w:t>
            </w: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lease payments</w:t>
            </w:r>
          </w:p>
        </w:tc>
        <w:tc>
          <w:tcPr>
            <w:tcW w:w="5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49,636</w:t>
            </w: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Less: imputed interest</w:t>
            </w:r>
          </w:p>
        </w:tc>
        <w:tc>
          <w:tcPr>
            <w:tcW w:w="5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(8,212)</w:t>
            </w:r>
          </w:p>
        </w:tc>
        <w:tc>
          <w:tcPr>
            <w:tcW w:w="0" w:type="dxa"/>
            <w:vAlign w:val="bottom"/>
          </w:tcPr>
          <w:p>
            <w:pPr>
              <w:spacing w:after="0"/>
              <w:rPr>
                <w:sz w:val="1"/>
                <w:szCs w:val="1"/>
                <w:color w:val="auto"/>
              </w:rPr>
            </w:pPr>
          </w:p>
        </w:tc>
      </w:tr>
      <w:tr>
        <w:trPr>
          <w:trHeight w:val="275"/>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lease liabilities</w:t>
            </w:r>
          </w:p>
        </w:tc>
        <w:tc>
          <w:tcPr>
            <w:tcW w:w="5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41,424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741"/>
              <w:spacing w:after="0"/>
              <w:rPr>
                <w:sz w:val="20"/>
                <w:szCs w:val="20"/>
                <w:color w:val="auto"/>
              </w:rPr>
            </w:pPr>
            <w:r>
              <w:rPr>
                <w:rFonts w:ascii="Times New Roman" w:cs="Times New Roman" w:eastAsia="Times New Roman" w:hAnsi="Times New Roman"/>
                <w:sz w:val="20"/>
                <w:szCs w:val="20"/>
                <w:color w:val="auto"/>
              </w:rPr>
              <w:t>32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36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660" w:type="dxa"/>
            <w:vAlign w:val="bottom"/>
            <w:tcBorders>
              <w:bottom w:val="single" w:sz="8" w:color="9A9A9A"/>
            </w:tcBorders>
          </w:tcPr>
          <w:p>
            <w:pPr>
              <w:spacing w:after="0"/>
              <w:rPr>
                <w:sz w:val="7"/>
                <w:szCs w:val="7"/>
                <w:color w:val="auto"/>
              </w:rPr>
            </w:pPr>
          </w:p>
        </w:tc>
        <w:tc>
          <w:tcPr>
            <w:tcW w:w="5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 Intangible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 and accumulated amortization of intangible assets as of September 30, 2026 and December 31, 2025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20"/>
                <w:szCs w:val="20"/>
                <w:color w:val="auto"/>
              </w:rPr>
              <w:t>September 30, 2026</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460" w:type="dxa"/>
            <w:vAlign w:val="bottom"/>
            <w:gridSpan w:val="2"/>
          </w:tcPr>
          <w:p>
            <w:pPr>
              <w:jc w:val="center"/>
              <w:ind w:right="60"/>
              <w:spacing w:after="0" w:line="190" w:lineRule="exact"/>
              <w:rPr>
                <w:sz w:val="20"/>
                <w:szCs w:val="20"/>
                <w:color w:val="auto"/>
              </w:rPr>
            </w:pPr>
            <w:r>
              <w:rPr>
                <w:rFonts w:ascii="Times New Roman" w:cs="Times New Roman" w:eastAsia="Times New Roman" w:hAnsi="Times New Roman"/>
                <w:sz w:val="20"/>
                <w:szCs w:val="20"/>
                <w:color w:val="auto"/>
                <w:w w:val="97"/>
              </w:rPr>
              <w:t>Weighted</w:t>
            </w:r>
          </w:p>
        </w:tc>
        <w:tc>
          <w:tcPr>
            <w:tcW w:w="14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8"/>
              </w:rPr>
              <w:t>Gross carrying</w:t>
            </w:r>
          </w:p>
        </w:tc>
        <w:tc>
          <w:tcPr>
            <w:tcW w:w="14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9"/>
              </w:rPr>
              <w:t>Accumulated</w:t>
            </w:r>
          </w:p>
        </w:tc>
        <w:tc>
          <w:tcPr>
            <w:tcW w:w="160" w:type="dxa"/>
            <w:vAlign w:val="bottom"/>
          </w:tcPr>
          <w:p>
            <w:pPr>
              <w:spacing w:after="0"/>
              <w:rPr>
                <w:sz w:val="16"/>
                <w:szCs w:val="16"/>
                <w:color w:val="auto"/>
              </w:rPr>
            </w:pPr>
          </w:p>
        </w:tc>
        <w:tc>
          <w:tcPr>
            <w:tcW w:w="1240" w:type="dxa"/>
            <w:vAlign w:val="bottom"/>
            <w:vMerge w:val="restart"/>
          </w:tcPr>
          <w:p>
            <w:pPr>
              <w:jc w:val="center"/>
              <w:ind w:right="61"/>
              <w:spacing w:after="0"/>
              <w:rPr>
                <w:sz w:val="20"/>
                <w:szCs w:val="20"/>
                <w:color w:val="auto"/>
              </w:rPr>
            </w:pPr>
            <w:r>
              <w:rPr>
                <w:rFonts w:ascii="Times New Roman" w:cs="Times New Roman" w:eastAsia="Times New Roman" w:hAnsi="Times New Roman"/>
                <w:sz w:val="20"/>
                <w:szCs w:val="20"/>
                <w:color w:val="auto"/>
                <w:w w:val="99"/>
              </w:rPr>
              <w:t>Net carrying</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460" w:type="dxa"/>
            <w:vAlign w:val="bottom"/>
            <w:gridSpan w:val="2"/>
          </w:tcPr>
          <w:p>
            <w:pPr>
              <w:jc w:val="center"/>
              <w:ind w:right="60"/>
              <w:spacing w:after="0" w:line="203" w:lineRule="exact"/>
              <w:rPr>
                <w:sz w:val="20"/>
                <w:szCs w:val="20"/>
                <w:color w:val="auto"/>
              </w:rPr>
            </w:pPr>
            <w:r>
              <w:rPr>
                <w:rFonts w:ascii="Times New Roman" w:cs="Times New Roman" w:eastAsia="Times New Roman" w:hAnsi="Times New Roman"/>
                <w:sz w:val="20"/>
                <w:szCs w:val="20"/>
                <w:color w:val="auto"/>
                <w:w w:val="99"/>
              </w:rPr>
              <w:t>average useful</w:t>
            </w:r>
          </w:p>
        </w:tc>
        <w:tc>
          <w:tcPr>
            <w:tcW w:w="14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life</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9"/>
              </w:rPr>
              <w:t>amount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amortization</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9"/>
              </w:rPr>
              <w:t>amount</w:t>
            </w:r>
          </w:p>
        </w:tc>
        <w:tc>
          <w:tcPr>
            <w:tcW w:w="0" w:type="dxa"/>
            <w:vAlign w:val="bottom"/>
          </w:tcPr>
          <w:p>
            <w:pPr>
              <w:spacing w:after="0"/>
              <w:rPr>
                <w:sz w:val="1"/>
                <w:szCs w:val="1"/>
                <w:color w:val="auto"/>
              </w:rPr>
            </w:pPr>
          </w:p>
        </w:tc>
      </w:tr>
      <w:tr>
        <w:trPr>
          <w:trHeight w:val="287"/>
        </w:trPr>
        <w:tc>
          <w:tcPr>
            <w:tcW w:w="5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Internally developed software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172,156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(114,283)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57,873</w:t>
            </w:r>
          </w:p>
        </w:tc>
        <w:tc>
          <w:tcPr>
            <w:tcW w:w="0" w:type="dxa"/>
            <w:vAlign w:val="bottom"/>
          </w:tcPr>
          <w:p>
            <w:pPr>
              <w:spacing w:after="0"/>
              <w:rPr>
                <w:sz w:val="1"/>
                <w:szCs w:val="1"/>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Renewal rights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21,731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9,615</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Trade names and trademarks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14.2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11,867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(5,268)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6,599</w:t>
            </w:r>
          </w:p>
        </w:tc>
        <w:tc>
          <w:tcPr>
            <w:tcW w:w="0" w:type="dxa"/>
            <w:vAlign w:val="bottom"/>
          </w:tcPr>
          <w:p>
            <w:pPr>
              <w:spacing w:after="0"/>
              <w:rPr>
                <w:sz w:val="1"/>
                <w:szCs w:val="1"/>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State licenses</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Indefinite</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11,263</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Relationships and customer lists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15.5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5,133</w:t>
            </w:r>
          </w:p>
        </w:tc>
        <w:tc>
          <w:tcPr>
            <w:tcW w:w="0" w:type="dxa"/>
            <w:vAlign w:val="bottom"/>
          </w:tcPr>
          <w:p>
            <w:pPr>
              <w:spacing w:after="0"/>
              <w:rPr>
                <w:sz w:val="1"/>
                <w:szCs w:val="1"/>
                <w:color w:val="auto"/>
              </w:rPr>
            </w:pPr>
          </w:p>
        </w:tc>
      </w:tr>
      <w:tr>
        <w:trPr>
          <w:trHeight w:val="25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intangible assets</w:t>
            </w: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225,495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(135,012)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90,483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54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20"/>
                <w:szCs w:val="20"/>
                <w:color w:val="auto"/>
              </w:rPr>
              <w:t>December 31, 2025</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460" w:type="dxa"/>
            <w:vAlign w:val="bottom"/>
            <w:gridSpan w:val="2"/>
          </w:tcPr>
          <w:p>
            <w:pPr>
              <w:jc w:val="center"/>
              <w:ind w:right="60"/>
              <w:spacing w:after="0" w:line="190" w:lineRule="exact"/>
              <w:rPr>
                <w:sz w:val="20"/>
                <w:szCs w:val="20"/>
                <w:color w:val="auto"/>
              </w:rPr>
            </w:pPr>
            <w:r>
              <w:rPr>
                <w:rFonts w:ascii="Times New Roman" w:cs="Times New Roman" w:eastAsia="Times New Roman" w:hAnsi="Times New Roman"/>
                <w:sz w:val="20"/>
                <w:szCs w:val="20"/>
                <w:color w:val="auto"/>
                <w:w w:val="97"/>
              </w:rPr>
              <w:t>Weighted</w:t>
            </w:r>
          </w:p>
        </w:tc>
        <w:tc>
          <w:tcPr>
            <w:tcW w:w="14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8"/>
              </w:rPr>
              <w:t>Gross carrying</w:t>
            </w:r>
          </w:p>
        </w:tc>
        <w:tc>
          <w:tcPr>
            <w:tcW w:w="14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9"/>
              </w:rPr>
              <w:t>Accumulated</w:t>
            </w:r>
          </w:p>
        </w:tc>
        <w:tc>
          <w:tcPr>
            <w:tcW w:w="160" w:type="dxa"/>
            <w:vAlign w:val="bottom"/>
          </w:tcPr>
          <w:p>
            <w:pPr>
              <w:spacing w:after="0"/>
              <w:rPr>
                <w:sz w:val="16"/>
                <w:szCs w:val="16"/>
                <w:color w:val="auto"/>
              </w:rPr>
            </w:pPr>
          </w:p>
        </w:tc>
        <w:tc>
          <w:tcPr>
            <w:tcW w:w="1240" w:type="dxa"/>
            <w:vAlign w:val="bottom"/>
            <w:vMerge w:val="restart"/>
          </w:tcPr>
          <w:p>
            <w:pPr>
              <w:jc w:val="center"/>
              <w:ind w:right="61"/>
              <w:spacing w:after="0"/>
              <w:rPr>
                <w:sz w:val="20"/>
                <w:szCs w:val="20"/>
                <w:color w:val="auto"/>
              </w:rPr>
            </w:pPr>
            <w:r>
              <w:rPr>
                <w:rFonts w:ascii="Times New Roman" w:cs="Times New Roman" w:eastAsia="Times New Roman" w:hAnsi="Times New Roman"/>
                <w:sz w:val="20"/>
                <w:szCs w:val="20"/>
                <w:color w:val="auto"/>
                <w:w w:val="99"/>
              </w:rPr>
              <w:t>Net carrying</w:t>
            </w:r>
          </w:p>
        </w:tc>
        <w:tc>
          <w:tcPr>
            <w:tcW w:w="0" w:type="dxa"/>
            <w:vAlign w:val="bottom"/>
          </w:tcPr>
          <w:p>
            <w:pPr>
              <w:spacing w:after="0"/>
              <w:rPr>
                <w:sz w:val="1"/>
                <w:szCs w:val="1"/>
                <w:color w:val="auto"/>
              </w:rPr>
            </w:pPr>
          </w:p>
        </w:tc>
      </w:tr>
      <w:tr>
        <w:trPr>
          <w:trHeight w:val="198"/>
        </w:trPr>
        <w:tc>
          <w:tcPr>
            <w:tcW w:w="5440" w:type="dxa"/>
            <w:vAlign w:val="bottom"/>
          </w:tcPr>
          <w:p>
            <w:pPr>
              <w:spacing w:after="0"/>
              <w:rPr>
                <w:sz w:val="17"/>
                <w:szCs w:val="17"/>
                <w:color w:val="auto"/>
              </w:rPr>
            </w:pPr>
          </w:p>
        </w:tc>
        <w:tc>
          <w:tcPr>
            <w:tcW w:w="146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20"/>
                <w:szCs w:val="20"/>
                <w:color w:val="auto"/>
                <w:w w:val="99"/>
              </w:rPr>
              <w:t>average useful</w:t>
            </w:r>
          </w:p>
        </w:tc>
        <w:tc>
          <w:tcPr>
            <w:tcW w:w="14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life</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9"/>
              </w:rPr>
              <w:t>amount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amortization</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9"/>
              </w:rPr>
              <w:t>amount</w:t>
            </w:r>
          </w:p>
        </w:tc>
        <w:tc>
          <w:tcPr>
            <w:tcW w:w="0" w:type="dxa"/>
            <w:vAlign w:val="bottom"/>
          </w:tcPr>
          <w:p>
            <w:pPr>
              <w:spacing w:after="0"/>
              <w:rPr>
                <w:sz w:val="1"/>
                <w:szCs w:val="1"/>
                <w:color w:val="auto"/>
              </w:rPr>
            </w:pPr>
          </w:p>
        </w:tc>
      </w:tr>
      <w:tr>
        <w:trPr>
          <w:trHeight w:val="287"/>
        </w:trPr>
        <w:tc>
          <w:tcPr>
            <w:tcW w:w="5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Internally developed software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3.4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155,933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(102,326)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53,607</w:t>
            </w:r>
          </w:p>
        </w:tc>
        <w:tc>
          <w:tcPr>
            <w:tcW w:w="0" w:type="dxa"/>
            <w:vAlign w:val="bottom"/>
          </w:tcPr>
          <w:p>
            <w:pPr>
              <w:spacing w:after="0"/>
              <w:rPr>
                <w:sz w:val="1"/>
                <w:szCs w:val="1"/>
                <w:color w:val="auto"/>
              </w:rPr>
            </w:pP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Renewal rights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21,740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11,047</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Trade names and trademarks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14.2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11,867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7,465</w:t>
            </w:r>
          </w:p>
        </w:tc>
        <w:tc>
          <w:tcPr>
            <w:tcW w:w="0" w:type="dxa"/>
            <w:vAlign w:val="bottom"/>
          </w:tcPr>
          <w:p>
            <w:pPr>
              <w:spacing w:after="0"/>
              <w:rPr>
                <w:sz w:val="1"/>
                <w:szCs w:val="1"/>
                <w:color w:val="auto"/>
              </w:rPr>
            </w:pP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State licenses</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Indefinite</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11,263</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Relationships and customer lists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15.5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7,913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5,533</w:t>
            </w:r>
          </w:p>
        </w:tc>
        <w:tc>
          <w:tcPr>
            <w:tcW w:w="0" w:type="dxa"/>
            <w:vAlign w:val="bottom"/>
          </w:tcPr>
          <w:p>
            <w:pPr>
              <w:spacing w:after="0"/>
              <w:rPr>
                <w:sz w:val="1"/>
                <w:szCs w:val="1"/>
                <w:color w:val="auto"/>
              </w:rPr>
            </w:pPr>
          </w:p>
        </w:tc>
      </w:tr>
      <w:tr>
        <w:trPr>
          <w:trHeight w:val="25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intangible assets</w:t>
            </w: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209,296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(120,381)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88,915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460"/>
        <w:spacing w:after="0" w:line="233" w:lineRule="auto"/>
        <w:rPr>
          <w:sz w:val="20"/>
          <w:szCs w:val="20"/>
          <w:color w:val="auto"/>
        </w:rPr>
      </w:pPr>
      <w:r>
        <w:rPr>
          <w:rFonts w:ascii="Times New Roman" w:cs="Times New Roman" w:eastAsia="Times New Roman" w:hAnsi="Times New Roman"/>
          <w:sz w:val="20"/>
          <w:szCs w:val="20"/>
          <w:color w:val="auto"/>
        </w:rPr>
        <w:t>Intangible asset amortization expense was $5.7 million for the three months ended September 30, 2026 and 2025, and $17.0 million and $17.9 million for the nine months ended September 30, 2026 and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Estimated future aggregate amortization expense related to intangible assets as of September 30, 2026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1"/>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0" w:type="dxa"/>
            <w:vAlign w:val="bottom"/>
          </w:tcPr>
          <w:p>
            <w:pPr>
              <w:spacing w:after="0"/>
              <w:rPr>
                <w:sz w:val="1"/>
                <w:szCs w:val="1"/>
                <w:color w:val="auto"/>
              </w:rPr>
            </w:pPr>
          </w:p>
        </w:tc>
      </w:tr>
      <w:tr>
        <w:trPr>
          <w:trHeight w:val="2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2026 - remaining</w:t>
            </w:r>
          </w:p>
        </w:tc>
        <w:tc>
          <w:tcPr>
            <w:tcW w:w="6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6,069</w:t>
            </w:r>
          </w:p>
        </w:tc>
        <w:tc>
          <w:tcPr>
            <w:tcW w:w="0" w:type="dxa"/>
            <w:vAlign w:val="bottom"/>
          </w:tcPr>
          <w:p>
            <w:pPr>
              <w:spacing w:after="0"/>
              <w:rPr>
                <w:sz w:val="1"/>
                <w:szCs w:val="1"/>
                <w:color w:val="auto"/>
              </w:rPr>
            </w:pPr>
          </w:p>
        </w:tc>
      </w:tr>
      <w:tr>
        <w:trPr>
          <w:trHeight w:val="256"/>
        </w:trPr>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6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26,582</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6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21,402</w:t>
            </w:r>
          </w:p>
        </w:tc>
        <w:tc>
          <w:tcPr>
            <w:tcW w:w="0" w:type="dxa"/>
            <w:vAlign w:val="bottom"/>
          </w:tcPr>
          <w:p>
            <w:pPr>
              <w:spacing w:after="0"/>
              <w:rPr>
                <w:sz w:val="1"/>
                <w:szCs w:val="1"/>
                <w:color w:val="auto"/>
              </w:rPr>
            </w:pPr>
          </w:p>
        </w:tc>
      </w:tr>
      <w:tr>
        <w:trPr>
          <w:trHeight w:val="256"/>
        </w:trPr>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6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12,579</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6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3,443</w:t>
            </w:r>
          </w:p>
        </w:tc>
        <w:tc>
          <w:tcPr>
            <w:tcW w:w="0" w:type="dxa"/>
            <w:vAlign w:val="bottom"/>
          </w:tcPr>
          <w:p>
            <w:pPr>
              <w:spacing w:after="0"/>
              <w:rPr>
                <w:sz w:val="1"/>
                <w:szCs w:val="1"/>
                <w:color w:val="auto"/>
              </w:rPr>
            </w:pPr>
          </w:p>
        </w:tc>
      </w:tr>
      <w:tr>
        <w:trPr>
          <w:trHeight w:val="26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6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9,145</w:t>
            </w:r>
          </w:p>
        </w:tc>
        <w:tc>
          <w:tcPr>
            <w:tcW w:w="0" w:type="dxa"/>
            <w:vAlign w:val="bottom"/>
          </w:tcPr>
          <w:p>
            <w:pPr>
              <w:spacing w:after="0"/>
              <w:rPr>
                <w:sz w:val="1"/>
                <w:szCs w:val="1"/>
                <w:color w:val="auto"/>
              </w:rPr>
            </w:pPr>
          </w:p>
        </w:tc>
      </w:tr>
      <w:tr>
        <w:trPr>
          <w:trHeight w:val="279"/>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6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79,220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3741"/>
              <w:spacing w:after="0"/>
              <w:rPr>
                <w:sz w:val="20"/>
                <w:szCs w:val="20"/>
                <w:color w:val="auto"/>
              </w:rPr>
            </w:pPr>
            <w:r>
              <w:rPr>
                <w:rFonts w:ascii="Times New Roman" w:cs="Times New Roman" w:eastAsia="Times New Roman" w:hAnsi="Times New Roman"/>
                <w:sz w:val="20"/>
                <w:szCs w:val="20"/>
                <w:color w:val="auto"/>
              </w:rPr>
              <w:t>33</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346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60" w:type="dxa"/>
            <w:vAlign w:val="bottom"/>
            <w:tcBorders>
              <w:bottom w:val="single" w:sz="8" w:color="9A9A9A"/>
            </w:tcBorders>
          </w:tcPr>
          <w:p>
            <w:pPr>
              <w:spacing w:after="0"/>
              <w:rPr>
                <w:sz w:val="7"/>
                <w:szCs w:val="7"/>
                <w:color w:val="auto"/>
              </w:rPr>
            </w:pPr>
          </w:p>
        </w:tc>
        <w:tc>
          <w:tcPr>
            <w:tcW w:w="6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606044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0440" cy="1797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 Reserves for Unpaid Losses and Loss Adjustment Expenses</w:t>
      </w:r>
    </w:p>
    <w:p>
      <w:pPr>
        <w:spacing w:after="0" w:line="220"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20"/>
          <w:szCs w:val="20"/>
          <w:color w:val="auto"/>
        </w:rPr>
        <w:t>The following table presents a reconciliation of the beginning and ending reserves for unpaid losses and loss adjustment expenses, net of amounts recoverable from various reinsurers: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4"/>
          </w:tcPr>
          <w:p>
            <w:pPr>
              <w:jc w:val="right"/>
              <w:ind w:right="261"/>
              <w:spacing w:after="0"/>
              <w:rPr>
                <w:sz w:val="20"/>
                <w:szCs w:val="20"/>
                <w:color w:val="auto"/>
              </w:rPr>
            </w:pPr>
            <w:r>
              <w:rPr>
                <w:rFonts w:ascii="Times New Roman" w:cs="Times New Roman" w:eastAsia="Times New Roman" w:hAnsi="Times New Roman"/>
                <w:sz w:val="20"/>
                <w:szCs w:val="20"/>
                <w:color w:val="auto"/>
              </w:rPr>
              <w:t>Nine months ended September 30,</w:t>
            </w:r>
          </w:p>
        </w:tc>
      </w:tr>
      <w:tr>
        <w:trPr>
          <w:trHeight w:val="254"/>
        </w:trPr>
        <w:tc>
          <w:tcPr>
            <w:tcW w:w="7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140" w:type="dxa"/>
            <w:vAlign w:val="bottom"/>
          </w:tcPr>
          <w:p>
            <w:pPr>
              <w:spacing w:after="0"/>
              <w:rPr>
                <w:sz w:val="24"/>
                <w:szCs w:val="24"/>
                <w:color w:val="auto"/>
              </w:rPr>
            </w:pPr>
          </w:p>
        </w:tc>
      </w:tr>
      <w:tr>
        <w:trPr>
          <w:trHeight w:val="2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Gross reserves for unpaid losses and loss adjustment expenses, beginning</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168,851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168,492</w:t>
            </w:r>
          </w:p>
        </w:tc>
      </w:tr>
      <w:tr>
        <w:trPr>
          <w:trHeight w:val="25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Less: Reinsurance recoverable on unpaid losses and loss adjustment expenses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5,644</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5,769</w:t>
            </w: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reserves for unpaid losses and loss adjustment expenses, beginning</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163,207</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162,723</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Incurred losses and loss adjustment expenses: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Current accident year</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304,558</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224,969</w:t>
            </w:r>
          </w:p>
        </w:tc>
      </w:tr>
      <w:tr>
        <w:trPr>
          <w:trHeight w:val="25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Prior accident years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(5,669)</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incurred losses and loss adjustment expenses</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298,889</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224,969</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Current accident year</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171,121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61,819</w:t>
            </w:r>
          </w:p>
        </w:tc>
      </w:tr>
      <w:tr>
        <w:trPr>
          <w:trHeight w:val="25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Prior accident years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72,812</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63,571</w:t>
            </w:r>
          </w:p>
        </w:tc>
      </w:tr>
      <w:tr>
        <w:trPr>
          <w:trHeight w:val="25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payments</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243,933</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125,390</w:t>
            </w:r>
          </w:p>
        </w:tc>
      </w:tr>
      <w:tr>
        <w:trPr>
          <w:trHeight w:val="27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Effect of foreign currency rate changes</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8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reserves for unpaid losses and loss adjustment expenses, ending</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217,647</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262,239</w:t>
            </w:r>
          </w:p>
        </w:tc>
      </w:tr>
      <w:tr>
        <w:trPr>
          <w:trHeight w:val="25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Reinsurance recoverable on unpaid losses and loss adjustment expenses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14,485</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14,406</w:t>
            </w:r>
          </w:p>
        </w:tc>
      </w:tr>
      <w:tr>
        <w:trPr>
          <w:trHeight w:val="27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Gross reserves for unpaid losses and loss adjustment expenses, ending</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232,132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276,645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During the nine months ended September 30, 2026, prior year loss experience developed favorably resulting in a $5.7 million reserve reduction, primarily driven by the continued emergence of lower physical damage losses for the 2025 accident year. During the nine months</w:t>
      </w:r>
    </w:p>
    <w:p>
      <w:pPr>
        <w:ind w:right="280"/>
        <w:spacing w:after="0" w:line="228" w:lineRule="auto"/>
        <w:rPr>
          <w:sz w:val="20"/>
          <w:szCs w:val="20"/>
          <w:color w:val="auto"/>
        </w:rPr>
      </w:pPr>
      <w:r>
        <w:rPr>
          <w:rFonts w:ascii="Times New Roman" w:cs="Times New Roman" w:eastAsia="Times New Roman" w:hAnsi="Times New Roman"/>
          <w:sz w:val="20"/>
          <w:szCs w:val="20"/>
          <w:color w:val="auto"/>
        </w:rPr>
        <w:t>ended September 30, 2025, losses and loss adjustment expenses included $10.3 million of pre-tax losses related to the Southern California wildfires.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Reserving Methodology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records a quarterly estimate of losses and loss adjustment expenses for the current accident year using an annual loss ratio,</w:t>
      </w:r>
    </w:p>
    <w:p>
      <w:pPr>
        <w:ind w:right="160"/>
        <w:spacing w:after="0" w:line="215" w:lineRule="auto"/>
        <w:rPr>
          <w:sz w:val="20"/>
          <w:szCs w:val="20"/>
          <w:color w:val="auto"/>
        </w:rPr>
      </w:pPr>
      <w:r>
        <w:rPr>
          <w:rFonts w:ascii="Times New Roman" w:cs="Times New Roman" w:eastAsia="Times New Roman" w:hAnsi="Times New Roman"/>
          <w:sz w:val="19"/>
          <w:szCs w:val="19"/>
          <w:color w:val="auto"/>
        </w:rPr>
        <w:t>which is based on statistical analysis performed by its internal and external actuarial teams. The annual loss ratio is reviewed regularly throughout the year and adjusted, as necessary. Management believes this approach provides a more consistent view of loss experience over</w:t>
      </w:r>
    </w:p>
    <w:p>
      <w:pPr>
        <w:spacing w:after="0"/>
        <w:rPr>
          <w:sz w:val="20"/>
          <w:szCs w:val="20"/>
          <w:color w:val="auto"/>
        </w:rPr>
      </w:pPr>
      <w:r>
        <w:rPr>
          <w:rFonts w:ascii="Times New Roman" w:cs="Times New Roman" w:eastAsia="Times New Roman" w:hAnsi="Times New Roman"/>
          <w:sz w:val="20"/>
          <w:szCs w:val="20"/>
          <w:color w:val="auto"/>
        </w:rPr>
        <w:t>the year given the seasonality of the Company's business.</w:t>
      </w:r>
    </w:p>
    <w:p>
      <w:pPr>
        <w:spacing w:after="0" w:line="194"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The reserves for unpaid losses and loss adjustment expenses recorded on the Condensed Consolidated Balance Sheets represents (i) the difference between management's estimate of the ultimate cost of losses and loss adjustment expenses incurred by the Company; and (ii) the</w:t>
      </w:r>
    </w:p>
    <w:p>
      <w:pPr>
        <w:spacing w:after="0" w:line="211" w:lineRule="auto"/>
        <w:rPr>
          <w:sz w:val="20"/>
          <w:szCs w:val="20"/>
          <w:color w:val="auto"/>
        </w:rPr>
      </w:pPr>
      <w:r>
        <w:rPr>
          <w:rFonts w:ascii="Times New Roman" w:cs="Times New Roman" w:eastAsia="Times New Roman" w:hAnsi="Times New Roman"/>
          <w:sz w:val="20"/>
          <w:szCs w:val="20"/>
          <w:color w:val="auto"/>
        </w:rPr>
        <w:t>amount of paid losses and loss adjustment expenses as of the reporting date. These reserves reflect management's best estimate of unpaid</w:t>
      </w:r>
    </w:p>
    <w:p>
      <w:pPr>
        <w:spacing w:after="0" w:line="1"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20"/>
          <w:szCs w:val="20"/>
          <w:color w:val="auto"/>
        </w:rPr>
        <w:t>losses related to reported claims and IBNR claims and also include management's best estimate of all expenses associated with processing and settling reported and unreported claims.</w:t>
      </w:r>
    </w:p>
    <w:p>
      <w:pPr>
        <w:spacing w:after="0" w:line="18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Reserves are reviewed by management quarterly and monitored throughout the year by combining historical results and current actual results. Claims are analyzed and reported based on the year in which the loss occurred (i.e., on an accident year basis). Accident year data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classified and utilized within actuarial models to prepare estimates of required reserves for payments to be made in the future.</w:t>
      </w:r>
    </w:p>
    <w:p>
      <w:pPr>
        <w:spacing w:after="0" w:line="19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When estimating reserves, the Company utilizes several actuarial reserving methods which consider historical claim reporting patterns, claim cycle time, claim frequency and severity, claims settlement practices, adequacy of case reserves over time, seasonality, and current economic</w:t>
      </w:r>
    </w:p>
    <w:p>
      <w:pPr>
        <w:ind w:right="700"/>
        <w:spacing w:after="0" w:line="228" w:lineRule="auto"/>
        <w:rPr>
          <w:sz w:val="20"/>
          <w:szCs w:val="20"/>
          <w:color w:val="auto"/>
        </w:rPr>
      </w:pPr>
      <w:r>
        <w:rPr>
          <w:rFonts w:ascii="Times New Roman" w:cs="Times New Roman" w:eastAsia="Times New Roman" w:hAnsi="Times New Roman"/>
          <w:sz w:val="20"/>
          <w:szCs w:val="20"/>
          <w:color w:val="auto"/>
        </w:rPr>
        <w:t>conditions. Reserve estimates produced by various actuarial reserving methods are further analyzed to determine the actuarial central estimate which represents the expected value over the range of reasonably possible outcomes.</w:t>
      </w:r>
    </w:p>
    <w:p>
      <w:pPr>
        <w:spacing w:after="0" w:line="176"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Any adjustments to the Company's reserves for unpaid losses and loss adjustment expenses are recognized in its Condensed Consolidated Statements of Operations in the period in which management determines that an adjustment is necessary.</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 Reinsurance</w:t>
      </w:r>
    </w:p>
    <w:p>
      <w:pPr>
        <w:spacing w:after="0" w:line="220"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Hagerty Re assumes risk through the Markel Fronting Arrangement and through quota share arrangements with insurance carriers, including Drivers Edge. Hagerty Re and Drivers Edge are indirect wholly owned subsidiaries of the Company. Separately, the Company purchases</w:t>
      </w:r>
    </w:p>
    <w:p>
      <w:pPr>
        <w:spacing w:after="0" w:line="211" w:lineRule="auto"/>
        <w:rPr>
          <w:sz w:val="20"/>
          <w:szCs w:val="20"/>
          <w:color w:val="auto"/>
        </w:rPr>
      </w:pPr>
      <w:r>
        <w:rPr>
          <w:rFonts w:ascii="Times New Roman" w:cs="Times New Roman" w:eastAsia="Times New Roman" w:hAnsi="Times New Roman"/>
          <w:sz w:val="20"/>
          <w:szCs w:val="20"/>
          <w:color w:val="auto"/>
        </w:rPr>
        <w:t>excess-of-loss ("XOL") reinsurance to manage catastrophic risk exposure and safeguard capital. In addition, the Company enters into quota</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share reinsurance agreements under which it cedes a portion of its underwriting risk to highly rated reinsurers, thereby limiting the financial impact of potential losses. These reinsurance arrangements do not relieve the Company of its primary obligations to policyholders under the</w:t>
      </w:r>
    </w:p>
    <w:p>
      <w:pPr>
        <w:ind w:right="540"/>
        <w:spacing w:after="0" w:line="228" w:lineRule="auto"/>
        <w:rPr>
          <w:sz w:val="20"/>
          <w:szCs w:val="20"/>
          <w:color w:val="auto"/>
        </w:rPr>
      </w:pPr>
      <w:r>
        <w:rPr>
          <w:rFonts w:ascii="Times New Roman" w:cs="Times New Roman" w:eastAsia="Times New Roman" w:hAnsi="Times New Roman"/>
          <w:sz w:val="20"/>
          <w:szCs w:val="20"/>
          <w:color w:val="auto"/>
        </w:rPr>
        <w:t>terms of its insurance contracts. The Company partners with reinsurers that are rated A- (Excellent) or better by A.M. Best or that fully collateralize their maximum obligations under the applicable agreements.</w:t>
      </w:r>
    </w:p>
    <w:p>
      <w:pPr>
        <w:spacing w:after="0" w:line="176"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0"/>
          <w:szCs w:val="20"/>
          <w:color w:val="auto"/>
        </w:rPr>
        <w:t>Hagerty Re's catastrophe reinsurance coverage is effective through December 31, 2027. The 2026 catastrophe reinsurance program affords coverage for policies with total insured values ("TIV") of up to $5.0 million in excess of a per event retention of $35.0 million in two layers; $35.0 million excess of $35.0 million, and $63.0 million excess of $70.0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Hagerty Re also cedes 100% of its physical damage exposure on U.S. policies written or renewed with TIV equal to or greater than</w:t>
      </w:r>
    </w:p>
    <w:p>
      <w:pPr>
        <w:spacing w:after="0" w:line="211" w:lineRule="auto"/>
        <w:rPr>
          <w:sz w:val="20"/>
          <w:szCs w:val="20"/>
          <w:color w:val="auto"/>
        </w:rPr>
      </w:pPr>
      <w:r>
        <w:rPr>
          <w:rFonts w:ascii="Times New Roman" w:cs="Times New Roman" w:eastAsia="Times New Roman" w:hAnsi="Times New Roman"/>
          <w:sz w:val="20"/>
          <w:szCs w:val="20"/>
          <w:color w:val="auto"/>
        </w:rPr>
        <w:t>$5.0 million ("High-Net-Worth Accounts") via quota share agreements with various reinsurers. Hagerty Re receives ceding commissions</w:t>
      </w:r>
    </w:p>
    <w:p>
      <w:pPr>
        <w:ind w:right="120"/>
        <w:spacing w:after="0" w:line="215" w:lineRule="auto"/>
        <w:rPr>
          <w:sz w:val="20"/>
          <w:szCs w:val="20"/>
          <w:color w:val="auto"/>
        </w:rPr>
      </w:pPr>
      <w:r>
        <w:rPr>
          <w:rFonts w:ascii="Times New Roman" w:cs="Times New Roman" w:eastAsia="Times New Roman" w:hAnsi="Times New Roman"/>
          <w:sz w:val="19"/>
          <w:szCs w:val="19"/>
          <w:color w:val="auto"/>
        </w:rPr>
        <w:t>related to premiums ceded under reinsurance contracts related to these High-Net-Worth Accounts. Certain reinsurers involved in these quota share agreements are related parties. Hagerty Re also purchases facultative reinsurance to cede a portion of the physical damage exposure</w:t>
      </w:r>
    </w:p>
    <w:p>
      <w:pPr>
        <w:spacing w:after="0"/>
        <w:rPr>
          <w:sz w:val="20"/>
          <w:szCs w:val="20"/>
          <w:color w:val="auto"/>
        </w:rPr>
      </w:pPr>
      <w:r>
        <w:rPr>
          <w:rFonts w:ascii="Times New Roman" w:cs="Times New Roman" w:eastAsia="Times New Roman" w:hAnsi="Times New Roman"/>
          <w:sz w:val="20"/>
          <w:szCs w:val="20"/>
          <w:color w:val="auto"/>
        </w:rPr>
        <w:t>related to certain high value vehicles.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20 — Related-Party Transactions for additional information on reinsurance transactions with Markel and State Farm.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Company's total premiums on a written and earned basis for the three and nine months ended September 30,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 and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7"/>
              </w:rPr>
              <w:t>Three months ended</w:t>
            </w:r>
          </w:p>
        </w:tc>
        <w:tc>
          <w:tcPr>
            <w:tcW w:w="480" w:type="dxa"/>
            <w:vAlign w:val="bottom"/>
          </w:tcPr>
          <w:p>
            <w:pPr>
              <w:spacing w:after="0"/>
              <w:rPr>
                <w:sz w:val="19"/>
                <w:szCs w:val="19"/>
                <w:color w:val="auto"/>
              </w:rPr>
            </w:pPr>
          </w:p>
        </w:tc>
        <w:tc>
          <w:tcPr>
            <w:tcW w:w="2300" w:type="dxa"/>
            <w:vAlign w:val="bottom"/>
            <w:gridSpan w:val="4"/>
          </w:tcPr>
          <w:p>
            <w:pPr>
              <w:jc w:val="center"/>
              <w:ind w:right="381"/>
              <w:spacing w:after="0"/>
              <w:rPr>
                <w:sz w:val="20"/>
                <w:szCs w:val="20"/>
                <w:color w:val="auto"/>
              </w:rPr>
            </w:pPr>
            <w:r>
              <w:rPr>
                <w:rFonts w:ascii="Times New Roman" w:cs="Times New Roman" w:eastAsia="Times New Roman" w:hAnsi="Times New Roman"/>
                <w:sz w:val="20"/>
                <w:szCs w:val="20"/>
                <w:color w:val="auto"/>
                <w:w w:val="98"/>
              </w:rPr>
              <w:t>Nine months ended</w:t>
            </w:r>
          </w:p>
        </w:tc>
      </w:tr>
      <w:tr>
        <w:trPr>
          <w:trHeight w:val="252"/>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rPr>
              <w:t>September 30,</w:t>
            </w:r>
          </w:p>
        </w:tc>
        <w:tc>
          <w:tcPr>
            <w:tcW w:w="480" w:type="dxa"/>
            <w:vAlign w:val="bottom"/>
          </w:tcPr>
          <w:p>
            <w:pPr>
              <w:spacing w:after="0"/>
              <w:rPr>
                <w:sz w:val="21"/>
                <w:szCs w:val="21"/>
                <w:color w:val="auto"/>
              </w:rPr>
            </w:pPr>
          </w:p>
        </w:tc>
        <w:tc>
          <w:tcPr>
            <w:tcW w:w="2300" w:type="dxa"/>
            <w:vAlign w:val="bottom"/>
            <w:gridSpan w:val="4"/>
          </w:tcPr>
          <w:p>
            <w:pPr>
              <w:jc w:val="center"/>
              <w:ind w:right="381"/>
              <w:spacing w:after="0"/>
              <w:rPr>
                <w:sz w:val="20"/>
                <w:szCs w:val="20"/>
                <w:color w:val="auto"/>
              </w:rPr>
            </w:pPr>
            <w:r>
              <w:rPr>
                <w:rFonts w:ascii="Times New Roman" w:cs="Times New Roman" w:eastAsia="Times New Roman" w:hAnsi="Times New Roman"/>
                <w:sz w:val="20"/>
                <w:szCs w:val="20"/>
                <w:color w:val="auto"/>
                <w:w w:val="98"/>
              </w:rPr>
              <w:t>September 30,</w:t>
            </w:r>
          </w:p>
        </w:tc>
      </w:tr>
      <w:tr>
        <w:trPr>
          <w:trHeight w:val="250"/>
        </w:trPr>
        <w:tc>
          <w:tcPr>
            <w:tcW w:w="5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Premiums written:</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ind w:left="58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Assumed</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332,177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228,882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7"/>
              </w:rPr>
              <w:t>1,043,730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652,205</w:t>
            </w:r>
          </w:p>
        </w:tc>
      </w:tr>
      <w:tr>
        <w:trPr>
          <w:trHeight w:val="256"/>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Ceded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(25,682)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w w:val="99"/>
              </w:rPr>
              <w:t>(10,999)</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(86,737)</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w w:val="99"/>
              </w:rPr>
              <w:t>(42,068)</w:t>
            </w:r>
          </w:p>
        </w:tc>
      </w:tr>
      <w:tr>
        <w:trPr>
          <w:trHeight w:val="275"/>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306,495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217,883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956,993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610,137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Premiums earned:</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Assumed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287,619</w:t>
            </w:r>
          </w:p>
        </w:tc>
        <w:tc>
          <w:tcPr>
            <w:tcW w:w="8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199,679</w:t>
            </w:r>
          </w:p>
        </w:tc>
        <w:tc>
          <w:tcPr>
            <w:tcW w:w="80" w:type="dxa"/>
            <w:vAlign w:val="bottom"/>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812,366</w:t>
            </w:r>
          </w:p>
        </w:tc>
        <w:tc>
          <w:tcPr>
            <w:tcW w:w="8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570,588</w:t>
            </w:r>
          </w:p>
        </w:tc>
      </w:tr>
      <w:tr>
        <w:trPr>
          <w:trHeight w:val="25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Ceded</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(22,506)</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w w:val="99"/>
              </w:rPr>
              <w:t>(12,640)</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(55,655)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w w:val="99"/>
              </w:rPr>
              <w:t>(36,409)</w:t>
            </w:r>
          </w:p>
        </w:tc>
      </w:tr>
      <w:tr>
        <w:trPr>
          <w:trHeight w:val="250"/>
        </w:trPr>
        <w:tc>
          <w:tcPr>
            <w:tcW w:w="56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265,113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187,039</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756,711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534,179</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20"/>
          <w:szCs w:val="20"/>
          <w:color w:val="auto"/>
        </w:rPr>
        <w:t>The following table presents the Company's total losses and loss adjustment expenses for the three and nine months ended September 30, 2026 and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7"/>
              </w:rPr>
              <w:t>Three months ended</w:t>
            </w:r>
          </w:p>
        </w:tc>
        <w:tc>
          <w:tcPr>
            <w:tcW w:w="460" w:type="dxa"/>
            <w:vAlign w:val="bottom"/>
          </w:tcPr>
          <w:p>
            <w:pPr>
              <w:spacing w:after="0"/>
              <w:rPr>
                <w:sz w:val="19"/>
                <w:szCs w:val="19"/>
                <w:color w:val="auto"/>
              </w:rPr>
            </w:pP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rPr>
              <w:t>September 30,</w:t>
            </w:r>
          </w:p>
        </w:tc>
        <w:tc>
          <w:tcPr>
            <w:tcW w:w="460" w:type="dxa"/>
            <w:vAlign w:val="bottom"/>
          </w:tcPr>
          <w:p>
            <w:pPr>
              <w:spacing w:after="0"/>
              <w:rPr>
                <w:sz w:val="21"/>
                <w:szCs w:val="21"/>
                <w:color w:val="auto"/>
              </w:rPr>
            </w:pPr>
          </w:p>
        </w:tc>
        <w:tc>
          <w:tcPr>
            <w:tcW w:w="232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5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Losses and loss adjustment expenses: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3"/>
          </w:tcPr>
          <w:p>
            <w:pPr>
              <w:ind w:left="620"/>
              <w:spacing w:after="0"/>
              <w:rPr>
                <w:sz w:val="20"/>
                <w:szCs w:val="20"/>
                <w:color w:val="auto"/>
              </w:rPr>
            </w:pPr>
            <w:r>
              <w:rPr>
                <w:rFonts w:ascii="Times New Roman" w:cs="Times New Roman" w:eastAsia="Times New Roman" w:hAnsi="Times New Roman"/>
                <w:sz w:val="19"/>
                <w:szCs w:val="19"/>
                <w:i w:val="1"/>
                <w:iCs w:val="1"/>
                <w:color w:val="auto"/>
                <w:w w:val="97"/>
              </w:rPr>
              <w:t>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Assumed</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97,338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81,788</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315,787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243,173</w:t>
            </w:r>
          </w:p>
        </w:tc>
      </w:tr>
      <w:tr>
        <w:trPr>
          <w:trHeight w:val="257"/>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Ceded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w w:val="99"/>
              </w:rPr>
              <w:t>(7,077)</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w w:val="99"/>
              </w:rPr>
              <w:t>(3,162)</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w w:val="99"/>
              </w:rPr>
              <w:t>(16,898)</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w w:val="99"/>
              </w:rPr>
              <w:t>(18,204)</w:t>
            </w:r>
          </w:p>
        </w:tc>
      </w:tr>
      <w:tr>
        <w:trPr>
          <w:trHeight w:val="275"/>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90,261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78,626</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298,889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224,969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 Debt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2026 and December 31, 2025, "Debt, net" consisted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September 30,</w:t>
            </w:r>
          </w:p>
        </w:tc>
        <w:tc>
          <w:tcPr>
            <w:tcW w:w="200" w:type="dxa"/>
            <w:vAlign w:val="bottom"/>
          </w:tcPr>
          <w:p>
            <w:pPr>
              <w:spacing w:after="0"/>
              <w:rPr>
                <w:sz w:val="22"/>
                <w:szCs w:val="22"/>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r>
      <w:tr>
        <w:trPr>
          <w:trHeight w:val="262"/>
        </w:trPr>
        <w:tc>
          <w:tcPr>
            <w:tcW w:w="602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Maturity</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r>
      <w:tr>
        <w:trPr>
          <w:trHeight w:val="291"/>
        </w:trPr>
        <w:tc>
          <w:tcPr>
            <w:tcW w:w="6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4"/>
          </w:tcPr>
          <w:p>
            <w:pPr>
              <w:ind w:left="1020"/>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30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2025 JPM Credit Facility</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20"/>
                <w:szCs w:val="20"/>
                <w:color w:val="auto"/>
                <w:w w:val="98"/>
              </w:rPr>
              <w:t>March 2030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119,305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84,945</w:t>
            </w:r>
          </w:p>
        </w:tc>
      </w:tr>
      <w:tr>
        <w:trPr>
          <w:trHeight w:val="293"/>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BAC Credit Facility</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November 2028</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68,423</w:t>
            </w:r>
          </w:p>
        </w:tc>
      </w:tr>
      <w:tr>
        <w:trPr>
          <w:trHeight w:val="30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State Farm Term Loan</w:t>
            </w:r>
          </w:p>
        </w:tc>
        <w:tc>
          <w:tcPr>
            <w:tcW w:w="17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20"/>
                <w:szCs w:val="20"/>
                <w:color w:val="auto"/>
                <w:w w:val="99"/>
              </w:rPr>
              <w:t>September 2033</w:t>
            </w: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25,000</w:t>
            </w:r>
          </w:p>
        </w:tc>
      </w:tr>
      <w:tr>
        <w:trPr>
          <w:trHeight w:val="250"/>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Total debt</w:t>
            </w: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246,814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178,368</w:t>
            </w:r>
          </w:p>
        </w:tc>
      </w:tr>
      <w:tr>
        <w:trPr>
          <w:trHeight w:val="25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w w:val="98"/>
              </w:rPr>
              <w:t>Less: Unamortized debt issuance costs related to the State Farm Term Loan</w:t>
            </w: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(416)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w:t>
            </w:r>
          </w:p>
        </w:tc>
      </w:tr>
      <w:tr>
        <w:trPr>
          <w:trHeight w:val="250"/>
        </w:trPr>
        <w:tc>
          <w:tcPr>
            <w:tcW w:w="6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Debt, net</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246,398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177,907</w:t>
            </w:r>
          </w:p>
        </w:tc>
      </w:tr>
      <w:tr>
        <w:trPr>
          <w:trHeight w:val="20"/>
        </w:trPr>
        <w:tc>
          <w:tcPr>
            <w:tcW w:w="6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382333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23335" cy="17970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JPM Credit Facility</w:t>
      </w:r>
    </w:p>
    <w:p>
      <w:pPr>
        <w:spacing w:after="0" w:line="220" w:lineRule="exact"/>
        <w:rPr>
          <w:sz w:val="20"/>
          <w:szCs w:val="20"/>
          <w:color w:val="auto"/>
        </w:rPr>
      </w:pPr>
    </w:p>
    <w:p>
      <w:pPr>
        <w:ind w:right="500"/>
        <w:spacing w:after="0" w:line="251" w:lineRule="auto"/>
        <w:rPr>
          <w:sz w:val="20"/>
          <w:szCs w:val="20"/>
          <w:color w:val="auto"/>
        </w:rPr>
      </w:pPr>
      <w:r>
        <w:rPr>
          <w:rFonts w:ascii="Times New Roman" w:cs="Times New Roman" w:eastAsia="Times New Roman" w:hAnsi="Times New Roman"/>
          <w:sz w:val="19"/>
          <w:szCs w:val="19"/>
          <w:color w:val="auto"/>
        </w:rPr>
        <w:t>THG has a credit agreement with JPMorgan Chase Bank, N.A. ("JPM"), as administrative agent, issuing bank and swingline lender, the foreign subsidiary borrowers thereto, and the other financial institutions party thereto as lenders (the "2025 JPM Credit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2025 JPM Credit Agreement provides for a senior unsecured revolving credit facility (the "2025 JPM Credit Facility") with an aggregate</w:t>
      </w:r>
    </w:p>
    <w:p>
      <w:pPr>
        <w:spacing w:after="0" w:line="6" w:lineRule="exact"/>
        <w:rPr>
          <w:sz w:val="20"/>
          <w:szCs w:val="20"/>
          <w:color w:val="auto"/>
        </w:rPr>
      </w:pPr>
    </w:p>
    <w:p>
      <w:pPr>
        <w:ind w:right="480"/>
        <w:spacing w:after="0" w:line="215" w:lineRule="auto"/>
        <w:rPr>
          <w:sz w:val="20"/>
          <w:szCs w:val="20"/>
          <w:color w:val="auto"/>
        </w:rPr>
      </w:pPr>
      <w:r>
        <w:rPr>
          <w:rFonts w:ascii="Times New Roman" w:cs="Times New Roman" w:eastAsia="Times New Roman" w:hAnsi="Times New Roman"/>
          <w:sz w:val="19"/>
          <w:szCs w:val="19"/>
          <w:color w:val="auto"/>
        </w:rPr>
        <w:t>borrowing capacity of $375.0 million. The 2025 JPM Credit Agreement includes (i) a $175.0 million sublimit for letters of credit; (ii) a $100.0 million sublimit for foreign currency borrowings; and (iii) an uncommitted accordion feature of $75.0 million, plus an unlimited</w:t>
      </w:r>
    </w:p>
    <w:p>
      <w:pPr>
        <w:ind w:right="160"/>
        <w:spacing w:after="0" w:line="228" w:lineRule="auto"/>
        <w:rPr>
          <w:sz w:val="20"/>
          <w:szCs w:val="20"/>
          <w:color w:val="auto"/>
        </w:rPr>
      </w:pPr>
      <w:r>
        <w:rPr>
          <w:rFonts w:ascii="Times New Roman" w:cs="Times New Roman" w:eastAsia="Times New Roman" w:hAnsi="Times New Roman"/>
          <w:sz w:val="20"/>
          <w:szCs w:val="20"/>
          <w:color w:val="auto"/>
        </w:rPr>
        <w:t>amount so long as THG's net leverage ratio is below 3.25. The 2025 JPM Credit Agreement matures in March 2030, but may be extended if agreed by THG and the lenders party thereto. Any unpaid balance on the 2025 JPM Credit Facility is due at maturity.</w:t>
      </w:r>
    </w:p>
    <w:p>
      <w:pPr>
        <w:spacing w:after="0" w:line="176"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9"/>
          <w:szCs w:val="19"/>
          <w:color w:val="auto"/>
        </w:rPr>
        <w:t>Borrowings from the 2025 JPM Credit Facility accrue interest at the applicable reference rate, primarily Term SOFR, depending on the currency of the borrowing plus an applicable margin determined by the Company's net leverage ratio for the preceding period (as defined in</w:t>
      </w:r>
    </w:p>
    <w:p>
      <w:pPr>
        <w:spacing w:after="0" w:line="1"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20"/>
          <w:szCs w:val="20"/>
          <w:color w:val="auto"/>
        </w:rPr>
        <w:t>the 2025 JPM Credit Facility). The effective interest rates related to the 2025 JPM Credit Agreement were 4.74% and 5.74% for the nine months ended September 30, 2026 and 2025, respectively.</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The 2025 JPM Credit Agreement requires THG to, among other things, meet certain financial covenants, including a minimum fixed charge coverage ratio test and a maximum leverage ratio test. As of September 30, 2026, THG was in compliance with these financial covenants.</w:t>
      </w:r>
    </w:p>
    <w:p>
      <w:pPr>
        <w:spacing w:after="0" w:line="150"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As of September 30, 2026, the carrying value of the outstanding borrowings under the 2025 JPM Credit Facility approximated its fair value due to the variable interest rates associated with the outstanding borrowings.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BAC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BAC and its wholly owned subsidiary BAC Funding 2023-1, LLC, as borrower, have a revolving credit agreement (the "BAC Credit</w:t>
      </w:r>
    </w:p>
    <w:p>
      <w:pPr>
        <w:ind w:right="220"/>
        <w:spacing w:after="0" w:line="215" w:lineRule="auto"/>
        <w:rPr>
          <w:sz w:val="20"/>
          <w:szCs w:val="20"/>
          <w:color w:val="auto"/>
        </w:rPr>
      </w:pPr>
      <w:r>
        <w:rPr>
          <w:rFonts w:ascii="Times New Roman" w:cs="Times New Roman" w:eastAsia="Times New Roman" w:hAnsi="Times New Roman"/>
          <w:sz w:val="19"/>
          <w:szCs w:val="19"/>
          <w:color w:val="auto"/>
        </w:rPr>
        <w:t>Agreement") that provides for a revolving credit facility (the "BAC Credit Facility") with an aggregate commitment of $150.0 million. The BAC Credit Facility's borrowing base is determined by the carrying value of certain BAC notes receivable, which is then limited by the</w:t>
      </w:r>
    </w:p>
    <w:p>
      <w:pPr>
        <w:ind w:right="760"/>
        <w:spacing w:after="0" w:line="228" w:lineRule="auto"/>
        <w:rPr>
          <w:sz w:val="20"/>
          <w:szCs w:val="20"/>
          <w:color w:val="auto"/>
        </w:rPr>
      </w:pPr>
      <w:r>
        <w:rPr>
          <w:rFonts w:ascii="Times New Roman" w:cs="Times New Roman" w:eastAsia="Times New Roman" w:hAnsi="Times New Roman"/>
          <w:sz w:val="20"/>
          <w:szCs w:val="20"/>
          <w:color w:val="auto"/>
        </w:rPr>
        <w:t>amount of the aggregate commitment. As of September 30, 2026, the applicable borrowing base for the BAC Credit Agreement was $102.5 million.</w:t>
      </w:r>
    </w:p>
    <w:p>
      <w:pPr>
        <w:spacing w:after="0" w:line="176"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0"/>
          <w:szCs w:val="20"/>
          <w:color w:val="auto"/>
        </w:rPr>
        <w:t>The revolving borrowing period of the BAC Credit Facility expires in November 2027, followed by an amortization period until it ultimately matures in November 2028. The borrowing period and the maturity date of the BAC Credit Facility may be extended by one year if requested by BAC and agreed by the administrative agent. BAC is not a borrower or guarantor of the BAC Credit Facility.</w:t>
      </w:r>
    </w:p>
    <w:p>
      <w:pPr>
        <w:spacing w:after="0" w:line="176"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9"/>
          <w:szCs w:val="19"/>
          <w:color w:val="auto"/>
        </w:rPr>
        <w:t>BAC and certain of its subsidiaries may transfer notes receivable to wholly owned, bankruptcy remote SPEs to secure borrowings under the BAC Credit Facility, isolating these assets from the Company's other obligations. Recourse is limited to (i) an obligation of the applicable</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seller to repurchase a note receivable if it is determined that there was a breach of any representation or warranty relating to such note receivable as of the relevant date specified in the related transfer agreement; and (ii) a limited guarantee for certain liabilities that may result</w:t>
      </w:r>
    </w:p>
    <w:p>
      <w:pPr>
        <w:spacing w:after="0"/>
        <w:rPr>
          <w:sz w:val="20"/>
          <w:szCs w:val="20"/>
          <w:color w:val="auto"/>
        </w:rPr>
      </w:pPr>
      <w:r>
        <w:rPr>
          <w:rFonts w:ascii="Times New Roman" w:cs="Times New Roman" w:eastAsia="Times New Roman" w:hAnsi="Times New Roman"/>
          <w:sz w:val="20"/>
          <w:szCs w:val="20"/>
          <w:color w:val="auto"/>
        </w:rPr>
        <w:t>under certain foreign exchange hedging activity of one of the SPEs.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BAC and BAC Funding 2023-1, LLC are required, among other things, to meet certain financial covenants including that BAC, as the</w:t>
      </w:r>
    </w:p>
    <w:p>
      <w:pPr>
        <w:ind w:right="700"/>
        <w:spacing w:after="0" w:line="221" w:lineRule="auto"/>
        <w:rPr>
          <w:sz w:val="20"/>
          <w:szCs w:val="20"/>
          <w:color w:val="auto"/>
        </w:rPr>
      </w:pPr>
      <w:r>
        <w:rPr>
          <w:rFonts w:ascii="Times New Roman" w:cs="Times New Roman" w:eastAsia="Times New Roman" w:hAnsi="Times New Roman"/>
          <w:sz w:val="20"/>
          <w:szCs w:val="20"/>
          <w:color w:val="auto"/>
        </w:rPr>
        <w:t>servicer, maintain a minimum tangible net worth, minimum liquidity balances, and an indebtedness to tangible net worth ratio. As of September 30, 2026, the Company was in compliance with the financial covenants under the BAC Credit Agreement.</w:t>
      </w:r>
    </w:p>
    <w:p>
      <w:pPr>
        <w:spacing w:after="0" w:line="18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As of September 30, 2026, the carrying value of the outstanding borrowings under the BAC Credit Facility approximated its fair value due to the variable interest rates associated with the outstanding borrowings.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State Farm Term Loan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September 2023, Hagerty Re entered into an unsecured term loan credit facility with State Farm in the aggregate principal amount of</w:t>
      </w:r>
    </w:p>
    <w:p>
      <w:pPr>
        <w:ind w:right="280"/>
        <w:spacing w:after="0" w:line="233" w:lineRule="auto"/>
        <w:rPr>
          <w:sz w:val="20"/>
          <w:szCs w:val="20"/>
          <w:color w:val="auto"/>
        </w:rPr>
      </w:pPr>
      <w:r>
        <w:rPr>
          <w:rFonts w:ascii="Times New Roman" w:cs="Times New Roman" w:eastAsia="Times New Roman" w:hAnsi="Times New Roman"/>
          <w:sz w:val="19"/>
          <w:szCs w:val="19"/>
          <w:color w:val="auto"/>
        </w:rPr>
        <w:t>$25.0 million (the "State Farm Term Loan"). The State Farm Term Loan bears interest at a rate of 8.0% per annum and will mature in September 2033. State Farm is a related party to the Company. Refer to Note 20 — Related-Party Transactions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Letters of Credit</w:t>
      </w:r>
    </w:p>
    <w:p>
      <w:pPr>
        <w:spacing w:after="0" w:line="22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As of September 30, 2026, the Company has authorized three letters of credit for a total of $10.8 million for operational purposes, primarily related to Hagerty Re's Section 953(d) tax structuring election, and to a much lesser extent, a requirement under a quota share agreement, and</w:t>
      </w:r>
    </w:p>
    <w:p>
      <w:pPr>
        <w:spacing w:after="0"/>
        <w:rPr>
          <w:sz w:val="20"/>
          <w:szCs w:val="20"/>
          <w:color w:val="auto"/>
        </w:rPr>
      </w:pPr>
      <w:r>
        <w:rPr>
          <w:rFonts w:ascii="Times New Roman" w:cs="Times New Roman" w:eastAsia="Times New Roman" w:hAnsi="Times New Roman"/>
          <w:sz w:val="20"/>
          <w:szCs w:val="20"/>
          <w:color w:val="auto"/>
        </w:rPr>
        <w:t>lease down payment support.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 Convertible Preferred Stock</w:t>
      </w:r>
    </w:p>
    <w:p>
      <w:pPr>
        <w:spacing w:after="0" w:line="20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9"/>
          <w:szCs w:val="19"/>
          <w:color w:val="auto"/>
        </w:rPr>
        <w:t>In June 2023, the Company entered into a Securities Purchase Agreement (the "Purchase Agreement") with certain accredited investors (the "Investors"), pursuant to which it closed, issued and sold (the "Closing") to the Investors an aggregate of 8,483,561 shares of the Company's</w:t>
      </w:r>
    </w:p>
    <w:p>
      <w:pPr>
        <w:spacing w:after="0" w:line="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newly-designated Series A Convertible Preferred Stock, par value $0.0001 per share, for an aggregate purchase price of $80.0 million, at a per-share purchase price of $9.43 (the "Series A Purchase Price" and the transaction, the "Private Placement").</w:t>
      </w:r>
    </w:p>
    <w:p>
      <w:pPr>
        <w:spacing w:after="0" w:line="189"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The Investors include State Farm, Markel, and individuals related to Hagerty Holding Corp. ("HHC"). State Farm and Markel each own over 5% of the Company's outstanding common stock. McKeel Hagerty, the Company's CEO and the Chairman of its Board, along with Tammy</w:t>
      </w:r>
    </w:p>
    <w:p>
      <w:pPr>
        <w:spacing w:after="0" w:line="211" w:lineRule="auto"/>
        <w:rPr>
          <w:sz w:val="20"/>
          <w:szCs w:val="20"/>
          <w:color w:val="auto"/>
        </w:rPr>
      </w:pPr>
      <w:r>
        <w:rPr>
          <w:rFonts w:ascii="Times New Roman" w:cs="Times New Roman" w:eastAsia="Times New Roman" w:hAnsi="Times New Roman"/>
          <w:sz w:val="20"/>
          <w:szCs w:val="20"/>
          <w:color w:val="auto"/>
        </w:rPr>
        <w:t>Hagerty, may be deemed to control HHC, the controlling stockholder of the Company. Both State Farm and Markel can nominate one</w:t>
      </w:r>
    </w:p>
    <w:p>
      <w:pPr>
        <w:spacing w:after="0" w:line="1"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20"/>
          <w:szCs w:val="20"/>
          <w:color w:val="auto"/>
        </w:rPr>
        <w:t>director to the Board, while HHC can nominate two directors. Refer to Note 16 — Stockholders' Equity and Note 20 — Related-Party Transactions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net proceeds from the Private Placement after deducting issuance costs of approximately $0.8 million were $79.2 million, which was</w:t>
      </w:r>
    </w:p>
    <w:p>
      <w:pPr>
        <w:ind w:right="360"/>
        <w:spacing w:after="0" w:line="221" w:lineRule="auto"/>
        <w:rPr>
          <w:sz w:val="20"/>
          <w:szCs w:val="20"/>
          <w:color w:val="auto"/>
        </w:rPr>
      </w:pPr>
      <w:r>
        <w:rPr>
          <w:rFonts w:ascii="Times New Roman" w:cs="Times New Roman" w:eastAsia="Times New Roman" w:hAnsi="Times New Roman"/>
          <w:sz w:val="20"/>
          <w:szCs w:val="20"/>
          <w:color w:val="auto"/>
        </w:rPr>
        <w:t>recorded within Temporary Equity on the Condensed Consolidated Balance Sheets. The Company used the net proceeds from the Private Placement for general corporate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30, 2026, the estimated redemption value of the Series A Convertible Preferred Stock was $102.9 million, which represents</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maximum cash payment, including cumulative dividends, that would be required to be paid if the Optional Term Redemption provision in the Certificate of Designations, as summarized below, is exercised as of the earliest possible redemption date of June 23, 2028. The decision</w:t>
      </w:r>
    </w:p>
    <w:p>
      <w:pPr>
        <w:spacing w:after="0" w:line="211" w:lineRule="auto"/>
        <w:rPr>
          <w:sz w:val="20"/>
          <w:szCs w:val="20"/>
          <w:color w:val="auto"/>
        </w:rPr>
      </w:pPr>
      <w:r>
        <w:rPr>
          <w:rFonts w:ascii="Times New Roman" w:cs="Times New Roman" w:eastAsia="Times New Roman" w:hAnsi="Times New Roman"/>
          <w:sz w:val="20"/>
          <w:szCs w:val="20"/>
          <w:color w:val="auto"/>
        </w:rPr>
        <w:t>to redeem the Series A Convertible Preferred Stock for cash is made at the discretion of the Company; however, the Company is controlled</w:t>
      </w:r>
    </w:p>
    <w:p>
      <w:pPr>
        <w:ind w:right="220"/>
        <w:spacing w:after="0" w:line="215" w:lineRule="auto"/>
        <w:rPr>
          <w:sz w:val="20"/>
          <w:szCs w:val="20"/>
          <w:color w:val="auto"/>
        </w:rPr>
      </w:pPr>
      <w:r>
        <w:rPr>
          <w:rFonts w:ascii="Times New Roman" w:cs="Times New Roman" w:eastAsia="Times New Roman" w:hAnsi="Times New Roman"/>
          <w:sz w:val="19"/>
          <w:szCs w:val="19"/>
          <w:color w:val="auto"/>
        </w:rPr>
        <w:t>by HHC through its voting control of the Company. Accordingly, the redemption of the Series A Convertible Preferred Stock is considered outside the control of the Company and, as a result, the Series A Convertible Preferred Stock is recorded within Temporary Equity on the</w:t>
      </w:r>
    </w:p>
    <w:p>
      <w:pPr>
        <w:spacing w:after="0"/>
        <w:rPr>
          <w:sz w:val="20"/>
          <w:szCs w:val="20"/>
          <w:color w:val="auto"/>
        </w:rPr>
      </w:pPr>
      <w:r>
        <w:rPr>
          <w:rFonts w:ascii="Times New Roman" w:cs="Times New Roman" w:eastAsia="Times New Roman" w:hAnsi="Times New Roman"/>
          <w:sz w:val="20"/>
          <w:szCs w:val="20"/>
          <w:color w:val="auto"/>
        </w:rPr>
        <w:t>Condensed Consolidated Balance Sheets.</w:t>
      </w:r>
    </w:p>
    <w:p>
      <w:pPr>
        <w:spacing w:after="0" w:line="194"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The Company has elected to apply the accretion method to adjust the carrying value of the Series A Convertible Preferred Stock to its estimated redemption value. Amounts recognized to accrete the Series A Convertible Preferred Stock to its estimated redemption value are</w:t>
      </w:r>
    </w:p>
    <w:p>
      <w:pPr>
        <w:spacing w:after="0" w:line="222" w:lineRule="auto"/>
        <w:rPr>
          <w:sz w:val="20"/>
          <w:szCs w:val="20"/>
          <w:color w:val="auto"/>
        </w:rPr>
      </w:pPr>
      <w:r>
        <w:rPr>
          <w:rFonts w:ascii="Times New Roman" w:cs="Times New Roman" w:eastAsia="Times New Roman" w:hAnsi="Times New Roman"/>
          <w:sz w:val="19"/>
          <w:szCs w:val="19"/>
          <w:color w:val="auto"/>
        </w:rPr>
        <w:t>treated as a deemed dividend and are recorded as a reduction to "Additional paid-in capital" on the 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estimated redemption value may vary in subsequent periods and the Company has elected to recognize such changes prospectively.</w:t>
      </w:r>
    </w:p>
    <w:p>
      <w:pPr>
        <w:spacing w:after="0" w:line="180"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9"/>
          <w:szCs w:val="19"/>
          <w:color w:val="auto"/>
        </w:rPr>
        <w:t>The captioned sections below provide a summary of the material terms of the Series A Convertible Preferred Stock, as set forth in the Certificate of Designations, Preferences and Rights of the Series A Convertible Preferred Stock (the "Certificate of Designations").</w:t>
      </w:r>
    </w:p>
    <w:p>
      <w:pPr>
        <w:spacing w:after="0" w:line="160" w:lineRule="exact"/>
        <w:rPr>
          <w:sz w:val="20"/>
          <w:szCs w:val="20"/>
          <w:color w:val="auto"/>
        </w:rPr>
      </w:pPr>
    </w:p>
    <w:p>
      <w:pPr>
        <w:ind w:right="340"/>
        <w:spacing w:after="0" w:line="229" w:lineRule="auto"/>
        <w:rPr>
          <w:sz w:val="20"/>
          <w:szCs w:val="20"/>
          <w:color w:val="auto"/>
        </w:rPr>
      </w:pPr>
      <w:r>
        <w:rPr>
          <w:rFonts w:ascii="Times New Roman" w:cs="Times New Roman" w:eastAsia="Times New Roman" w:hAnsi="Times New Roman"/>
          <w:sz w:val="19"/>
          <w:szCs w:val="19"/>
          <w:i w:val="1"/>
          <w:iCs w:val="1"/>
          <w:color w:val="auto"/>
        </w:rPr>
        <w:t xml:space="preserve">Ranking </w:t>
      </w:r>
      <w:r>
        <w:rPr>
          <w:rFonts w:ascii="Times New Roman" w:cs="Times New Roman" w:eastAsia="Times New Roman" w:hAnsi="Times New Roman"/>
          <w:sz w:val="19"/>
          <w:szCs w:val="19"/>
          <w:color w:val="auto"/>
        </w:rPr>
        <w:t>— The Series A Convertible Preferred Stock ranks senior to the Class A Common Stock, the Class V Common Stock, and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class or series of shares of the Company that the Company may issue in the future, the terms of which do not expressly provide that</w:t>
      </w:r>
    </w:p>
    <w:p>
      <w:pPr>
        <w:spacing w:after="0" w:line="1"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20"/>
          <w:szCs w:val="20"/>
          <w:color w:val="auto"/>
        </w:rPr>
        <w:t>such class or series ranks equally with, or senior to, the Series A Convertible Preferred Stock, with respect to dividend rights and/or rights upon liquidation, winding up or dissolution.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 Dividends on the Series A Convertible Preferred Stock are cumulative and accrue from the date of issuance at the rate per</w:t>
      </w:r>
    </w:p>
    <w:p>
      <w:pPr>
        <w:ind w:right="60"/>
        <w:spacing w:after="0" w:line="215" w:lineRule="auto"/>
        <w:rPr>
          <w:sz w:val="20"/>
          <w:szCs w:val="20"/>
          <w:color w:val="auto"/>
        </w:rPr>
      </w:pPr>
      <w:r>
        <w:rPr>
          <w:rFonts w:ascii="Times New Roman" w:cs="Times New Roman" w:eastAsia="Times New Roman" w:hAnsi="Times New Roman"/>
          <w:sz w:val="19"/>
          <w:szCs w:val="19"/>
          <w:color w:val="auto"/>
        </w:rPr>
        <w:t>annum of 7% of the Series A Purchase Price of each share, plus the amount of previously accrued dividends, compounded annually (the "Accruing Dividends"). The Company may elect to pay the Accruing Dividends either in cash or in additional shares of Series A Convertible</w:t>
      </w:r>
    </w:p>
    <w:p>
      <w:pPr>
        <w:spacing w:after="0" w:line="211" w:lineRule="auto"/>
        <w:rPr>
          <w:sz w:val="20"/>
          <w:szCs w:val="20"/>
          <w:color w:val="auto"/>
        </w:rPr>
      </w:pPr>
      <w:r>
        <w:rPr>
          <w:rFonts w:ascii="Times New Roman" w:cs="Times New Roman" w:eastAsia="Times New Roman" w:hAnsi="Times New Roman"/>
          <w:sz w:val="20"/>
          <w:szCs w:val="20"/>
          <w:color w:val="auto"/>
        </w:rPr>
        <w:t>Preferred Stock. Prior to June 23, 2026, the third anniversary of the Closing, the Series A Convertible Preferred Stock was entitled to</w:t>
      </w:r>
    </w:p>
    <w:p>
      <w:pPr>
        <w:ind w:right="40"/>
        <w:spacing w:after="0" w:line="221" w:lineRule="auto"/>
        <w:rPr>
          <w:sz w:val="20"/>
          <w:szCs w:val="20"/>
          <w:color w:val="auto"/>
        </w:rPr>
      </w:pPr>
      <w:r>
        <w:rPr>
          <w:rFonts w:ascii="Times New Roman" w:cs="Times New Roman" w:eastAsia="Times New Roman" w:hAnsi="Times New Roman"/>
          <w:sz w:val="20"/>
          <w:szCs w:val="20"/>
          <w:color w:val="auto"/>
        </w:rPr>
        <w:t>participate on an as-converted basis in dividends declared and paid on the Class A Common Stock, if any. In each of June 2026 and 2025, the Company paid $5.6 million of cash dividends on the Series A Convertible Preferred Stock to the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Conversion </w:t>
      </w:r>
      <w:r>
        <w:rPr>
          <w:rFonts w:ascii="Times New Roman" w:cs="Times New Roman" w:eastAsia="Times New Roman" w:hAnsi="Times New Roman"/>
          <w:sz w:val="20"/>
          <w:szCs w:val="20"/>
          <w:color w:val="auto"/>
        </w:rPr>
        <w:t>— Any shares of Series A Convertible Preferred Stock may, at the option of the holder, be converted at any time into shares of</w:t>
      </w:r>
    </w:p>
    <w:p>
      <w:pPr>
        <w:ind w:right="200"/>
        <w:spacing w:after="0" w:line="215" w:lineRule="auto"/>
        <w:rPr>
          <w:sz w:val="20"/>
          <w:szCs w:val="20"/>
          <w:color w:val="auto"/>
        </w:rPr>
      </w:pPr>
      <w:r>
        <w:rPr>
          <w:rFonts w:ascii="Times New Roman" w:cs="Times New Roman" w:eastAsia="Times New Roman" w:hAnsi="Times New Roman"/>
          <w:sz w:val="19"/>
          <w:szCs w:val="19"/>
          <w:color w:val="auto"/>
        </w:rPr>
        <w:t>Class A Common Stock. The conversion price for the Series A Convertible Preferred Stock is initially $11.79 and is subject to adjustment upon certain events, including a stock split, a reverse stock split, or a dividend of the Class A Common Stock or Class V Common Stock to</w:t>
      </w:r>
    </w:p>
    <w:p>
      <w:pPr>
        <w:spacing w:after="0" w:line="211" w:lineRule="auto"/>
        <w:rPr>
          <w:sz w:val="20"/>
          <w:szCs w:val="20"/>
          <w:color w:val="auto"/>
        </w:rPr>
      </w:pPr>
      <w:r>
        <w:rPr>
          <w:rFonts w:ascii="Times New Roman" w:cs="Times New Roman" w:eastAsia="Times New Roman" w:hAnsi="Times New Roman"/>
          <w:sz w:val="20"/>
          <w:szCs w:val="20"/>
          <w:color w:val="auto"/>
        </w:rPr>
        <w:t>the Company's common stockholders (as adjusted, the "Conversion Price"). The Company may require such conversion (i) if the closing</w:t>
      </w:r>
    </w:p>
    <w:p>
      <w:pPr>
        <w:ind w:right="240"/>
        <w:spacing w:after="0" w:line="215" w:lineRule="auto"/>
        <w:rPr>
          <w:sz w:val="20"/>
          <w:szCs w:val="20"/>
          <w:color w:val="auto"/>
        </w:rPr>
      </w:pPr>
      <w:r>
        <w:rPr>
          <w:rFonts w:ascii="Times New Roman" w:cs="Times New Roman" w:eastAsia="Times New Roman" w:hAnsi="Times New Roman"/>
          <w:sz w:val="19"/>
          <w:szCs w:val="19"/>
          <w:color w:val="auto"/>
        </w:rPr>
        <w:t>price per share of Class A Common Stock, for at least twenty (20) of any thirty (30) consecutive trading days, exceeds: (a) on or after the third and prior to the seventh anniversary of the Closing, 150% of the Conversion Price; or (b) on or after the seventh and prior to the tenth</w:t>
      </w:r>
    </w:p>
    <w:p>
      <w:pPr>
        <w:spacing w:after="0" w:line="211" w:lineRule="auto"/>
        <w:rPr>
          <w:sz w:val="20"/>
          <w:szCs w:val="20"/>
          <w:color w:val="auto"/>
        </w:rPr>
      </w:pPr>
      <w:r>
        <w:rPr>
          <w:rFonts w:ascii="Times New Roman" w:cs="Times New Roman" w:eastAsia="Times New Roman" w:hAnsi="Times New Roman"/>
          <w:sz w:val="20"/>
          <w:szCs w:val="20"/>
          <w:color w:val="auto"/>
        </w:rPr>
        <w:t>anniversary of the Closing, 100% of the Conversion Price; and (ii) on or after the tenth anniversary of the Closing. The conversion rate in</w:t>
      </w:r>
    </w:p>
    <w:p>
      <w:pPr>
        <w:ind w:right="440"/>
        <w:spacing w:after="0" w:line="221" w:lineRule="auto"/>
        <w:rPr>
          <w:sz w:val="20"/>
          <w:szCs w:val="20"/>
          <w:color w:val="auto"/>
        </w:rPr>
      </w:pPr>
      <w:r>
        <w:rPr>
          <w:rFonts w:ascii="Times New Roman" w:cs="Times New Roman" w:eastAsia="Times New Roman" w:hAnsi="Times New Roman"/>
          <w:sz w:val="20"/>
          <w:szCs w:val="20"/>
          <w:color w:val="auto"/>
        </w:rPr>
        <w:t>effect at any applicable time (the "Conversion Rate") is the quotient obtained by dividing the Series A Purchase Price by the Conversion Price.</w:t>
      </w:r>
    </w:p>
    <w:p>
      <w:pPr>
        <w:spacing w:after="0" w:line="189"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20"/>
          <w:szCs w:val="20"/>
          <w:color w:val="auto"/>
        </w:rPr>
        <w:t>As of September 30, 2026, no shares of Series A Convertible Preferred Stock had been converted and the outstanding shares of Series A Convertible Preferred Stock were convertible into 6,785,410 shares of Class A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Voting </w:t>
      </w:r>
      <w:r>
        <w:rPr>
          <w:rFonts w:ascii="Times New Roman" w:cs="Times New Roman" w:eastAsia="Times New Roman" w:hAnsi="Times New Roman"/>
          <w:sz w:val="20"/>
          <w:szCs w:val="20"/>
          <w:color w:val="auto"/>
        </w:rPr>
        <w:t>— The Series A Convertible Preferred Stock votes together with the Class A Common Stock on an as-converted basis, and not as a</w:t>
      </w:r>
    </w:p>
    <w:p>
      <w:pPr>
        <w:ind w:right="40"/>
        <w:spacing w:after="0" w:line="215" w:lineRule="auto"/>
        <w:rPr>
          <w:sz w:val="20"/>
          <w:szCs w:val="20"/>
          <w:color w:val="auto"/>
        </w:rPr>
      </w:pPr>
      <w:r>
        <w:rPr>
          <w:rFonts w:ascii="Times New Roman" w:cs="Times New Roman" w:eastAsia="Times New Roman" w:hAnsi="Times New Roman"/>
          <w:sz w:val="19"/>
          <w:szCs w:val="19"/>
          <w:color w:val="auto"/>
        </w:rPr>
        <w:t>separate class. The Investors have veto rights over (i) changes to the terms of the Certificate of Designations or the Company's certificate of incorporation or bylaws that adversely impact the Series A Convertible Preferred Stock; and (ii) the issuance of equity securities senior to the</w:t>
      </w:r>
    </w:p>
    <w:p>
      <w:pPr>
        <w:spacing w:after="0"/>
        <w:rPr>
          <w:sz w:val="20"/>
          <w:szCs w:val="20"/>
          <w:color w:val="auto"/>
        </w:rPr>
      </w:pPr>
      <w:r>
        <w:rPr>
          <w:rFonts w:ascii="Times New Roman" w:cs="Times New Roman" w:eastAsia="Times New Roman" w:hAnsi="Times New Roman"/>
          <w:sz w:val="20"/>
          <w:szCs w:val="20"/>
          <w:color w:val="auto"/>
        </w:rPr>
        <w:t>Series A Convertible Preferred Stock or other securities convertible thereto.</w:t>
      </w:r>
    </w:p>
    <w:p>
      <w:pPr>
        <w:spacing w:after="0" w:line="190"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i w:val="1"/>
          <w:iCs w:val="1"/>
          <w:color w:val="auto"/>
        </w:rPr>
        <w:t xml:space="preserve">Liquidation Preference </w:t>
      </w:r>
      <w:r>
        <w:rPr>
          <w:rFonts w:ascii="Times New Roman" w:cs="Times New Roman" w:eastAsia="Times New Roman" w:hAnsi="Times New Roman"/>
          <w:sz w:val="19"/>
          <w:szCs w:val="19"/>
          <w:color w:val="auto"/>
        </w:rPr>
        <w:t>— In the event of any liquidation, dissolution or winding up of the Company, each share of Series A Convertible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Preferred Stock will be paid the greater of (i) the Series A Purchase Price plus any Accruing Dividends accrued but unpaid thereon; and (ii)</w:t>
      </w:r>
    </w:p>
    <w:p>
      <w:pPr>
        <w:spacing w:after="0" w:line="211" w:lineRule="auto"/>
        <w:rPr>
          <w:sz w:val="20"/>
          <w:szCs w:val="20"/>
          <w:color w:val="auto"/>
        </w:rPr>
      </w:pPr>
      <w:r>
        <w:rPr>
          <w:rFonts w:ascii="Times New Roman" w:cs="Times New Roman" w:eastAsia="Times New Roman" w:hAnsi="Times New Roman"/>
          <w:sz w:val="20"/>
          <w:szCs w:val="20"/>
          <w:color w:val="auto"/>
        </w:rPr>
        <w:t>the amount that such share of Series A Convertible Preferred Stock would have received had it converted into the Class A Common Stock</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immediately prior to such liquidation, dissolution or winding up of the Company (the "Liquidation Preference"). After payment of the Liquidation Preference, the Series A Convertible Preferred Stock will no longer be convertible and will not participate in any distribution</w:t>
      </w:r>
    </w:p>
    <w:p>
      <w:pPr>
        <w:spacing w:after="0"/>
        <w:rPr>
          <w:sz w:val="20"/>
          <w:szCs w:val="20"/>
          <w:color w:val="auto"/>
        </w:rPr>
      </w:pPr>
      <w:r>
        <w:rPr>
          <w:rFonts w:ascii="Times New Roman" w:cs="Times New Roman" w:eastAsia="Times New Roman" w:hAnsi="Times New Roman"/>
          <w:sz w:val="20"/>
          <w:szCs w:val="20"/>
          <w:color w:val="auto"/>
        </w:rPr>
        <w:t>made to the holders of the Class A Common Stock or Class V Common Stock.</w:t>
      </w:r>
    </w:p>
    <w:p>
      <w:pPr>
        <w:spacing w:after="0" w:line="190"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i w:val="1"/>
          <w:iCs w:val="1"/>
          <w:color w:val="auto"/>
        </w:rPr>
        <w:t xml:space="preserve">Change of Control </w:t>
      </w:r>
      <w:r>
        <w:rPr>
          <w:rFonts w:ascii="Times New Roman" w:cs="Times New Roman" w:eastAsia="Times New Roman" w:hAnsi="Times New Roman"/>
          <w:sz w:val="19"/>
          <w:szCs w:val="19"/>
          <w:color w:val="auto"/>
        </w:rPr>
        <w:t>— Upon a merger, consolidation, sale or other change of control transaction as described in the Certificate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Designations (a "Change of Control"), either (i) the Company may elect to redeem the Series A Convertible Preferred Stock; or (ii) each</w:t>
      </w:r>
    </w:p>
    <w:p>
      <w:pPr>
        <w:spacing w:after="0" w:line="211" w:lineRule="auto"/>
        <w:rPr>
          <w:sz w:val="20"/>
          <w:szCs w:val="20"/>
          <w:color w:val="auto"/>
        </w:rPr>
      </w:pPr>
      <w:r>
        <w:rPr>
          <w:rFonts w:ascii="Times New Roman" w:cs="Times New Roman" w:eastAsia="Times New Roman" w:hAnsi="Times New Roman"/>
          <w:sz w:val="20"/>
          <w:szCs w:val="20"/>
          <w:color w:val="auto"/>
        </w:rPr>
        <w:t>holder of Series A Convertible Preferred Stock, individually, may require the Company to redeem all or any portion of the Series A</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Convertible Preferred Stock. The redemption price per share to be paid by the Company would be the greater of: (a) the Series A Purchase Price plus any accrued but unpaid Accruing Dividends multiplied by (i) if prior to or on the third anniversary of the Closing, 120%; (ii) if</w:t>
      </w:r>
    </w:p>
    <w:p>
      <w:pPr>
        <w:spacing w:after="0" w:line="222" w:lineRule="auto"/>
        <w:rPr>
          <w:sz w:val="20"/>
          <w:szCs w:val="20"/>
          <w:color w:val="auto"/>
        </w:rPr>
      </w:pPr>
      <w:r>
        <w:rPr>
          <w:rFonts w:ascii="Times New Roman" w:cs="Times New Roman" w:eastAsia="Times New Roman" w:hAnsi="Times New Roman"/>
          <w:sz w:val="19"/>
          <w:szCs w:val="19"/>
          <w:color w:val="auto"/>
        </w:rPr>
        <w:t>after the third but prior to or on the fifth anniversary of the Closing, 110%; (iii) if after the fifth anniversary of the Closing, 100%; and (b) the</w:t>
      </w:r>
    </w:p>
    <w:p>
      <w:pPr>
        <w:spacing w:after="0" w:line="215" w:lineRule="auto"/>
        <w:rPr>
          <w:sz w:val="20"/>
          <w:szCs w:val="20"/>
          <w:color w:val="auto"/>
        </w:rPr>
      </w:pPr>
      <w:r>
        <w:rPr>
          <w:rFonts w:ascii="Times New Roman" w:cs="Times New Roman" w:eastAsia="Times New Roman" w:hAnsi="Times New Roman"/>
          <w:sz w:val="19"/>
          <w:szCs w:val="19"/>
          <w:color w:val="auto"/>
        </w:rPr>
        <w:t>amount such share of Series A Convertible Preferred Stock would have received had it converted into the Class A Common Stock prior to the Change of Control. Any shares of Series A Convertible Preferred Stock that are not so redeemed will automatically convert into shares of</w:t>
      </w:r>
    </w:p>
    <w:p>
      <w:pPr>
        <w:spacing w:after="0"/>
        <w:rPr>
          <w:sz w:val="20"/>
          <w:szCs w:val="20"/>
          <w:color w:val="auto"/>
        </w:rPr>
      </w:pPr>
      <w:r>
        <w:rPr>
          <w:rFonts w:ascii="Times New Roman" w:cs="Times New Roman" w:eastAsia="Times New Roman" w:hAnsi="Times New Roman"/>
          <w:sz w:val="20"/>
          <w:szCs w:val="20"/>
          <w:color w:val="auto"/>
        </w:rPr>
        <w:t>Class A Common Stock and be paid in connection with the Change of Control.</w:t>
      </w:r>
    </w:p>
    <w:p>
      <w:pPr>
        <w:spacing w:after="0" w:line="190"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i w:val="1"/>
          <w:iCs w:val="1"/>
          <w:color w:val="auto"/>
        </w:rPr>
        <w:t xml:space="preserve">Fundamental Transaction </w:t>
      </w:r>
      <w:r>
        <w:rPr>
          <w:rFonts w:ascii="Times New Roman" w:cs="Times New Roman" w:eastAsia="Times New Roman" w:hAnsi="Times New Roman"/>
          <w:sz w:val="19"/>
          <w:szCs w:val="19"/>
          <w:color w:val="auto"/>
        </w:rPr>
        <w:t>— In the event of any acquisition by the Company with a transaction value of at least $500.0 million or any equity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debt financing by the Company that raises at least $500.0 million, either (i) the Company may elect to redeem the Series A Convertible</w:t>
      </w:r>
    </w:p>
    <w:p>
      <w:pPr>
        <w:spacing w:after="0" w:line="211" w:lineRule="auto"/>
        <w:rPr>
          <w:sz w:val="20"/>
          <w:szCs w:val="20"/>
          <w:color w:val="auto"/>
        </w:rPr>
      </w:pPr>
      <w:r>
        <w:rPr>
          <w:rFonts w:ascii="Times New Roman" w:cs="Times New Roman" w:eastAsia="Times New Roman" w:hAnsi="Times New Roman"/>
          <w:sz w:val="20"/>
          <w:szCs w:val="20"/>
          <w:color w:val="auto"/>
        </w:rPr>
        <w:t>Preferred Stock; or (ii) each holder of Series A Convertible Preferred Stock, individually, may require the Company to redeem all or any</w:t>
      </w:r>
    </w:p>
    <w:p>
      <w:pPr>
        <w:spacing w:after="0" w:line="1" w:lineRule="exact"/>
        <w:rPr>
          <w:sz w:val="20"/>
          <w:szCs w:val="20"/>
          <w:color w:val="auto"/>
        </w:rPr>
      </w:pPr>
    </w:p>
    <w:p>
      <w:pPr>
        <w:ind w:right="540"/>
        <w:spacing w:after="0" w:line="215" w:lineRule="auto"/>
        <w:rPr>
          <w:sz w:val="20"/>
          <w:szCs w:val="20"/>
          <w:color w:val="auto"/>
        </w:rPr>
      </w:pPr>
      <w:r>
        <w:rPr>
          <w:rFonts w:ascii="Times New Roman" w:cs="Times New Roman" w:eastAsia="Times New Roman" w:hAnsi="Times New Roman"/>
          <w:sz w:val="19"/>
          <w:szCs w:val="19"/>
          <w:color w:val="auto"/>
        </w:rPr>
        <w:t>portion of its Series A Convertible Preferred Stock. The redemption price per share to be paid by the Company would be the Series A Purchase Price plus any accrued but unpaid Accruing Dividends multiplied by: (a) if prior to or on the third anniversary of the Closing,</w:t>
      </w:r>
    </w:p>
    <w:p>
      <w:pPr>
        <w:spacing w:after="0" w:line="211" w:lineRule="auto"/>
        <w:rPr>
          <w:sz w:val="20"/>
          <w:szCs w:val="20"/>
          <w:color w:val="auto"/>
        </w:rPr>
      </w:pPr>
      <w:r>
        <w:rPr>
          <w:rFonts w:ascii="Times New Roman" w:cs="Times New Roman" w:eastAsia="Times New Roman" w:hAnsi="Times New Roman"/>
          <w:sz w:val="20"/>
          <w:szCs w:val="20"/>
          <w:color w:val="auto"/>
        </w:rPr>
        <w:t>120%; (b) if after the third but prior to or on the fifth anniversary of the Closing, 110%; (c) if after the fifth but prior to or on the sixth</w:t>
      </w:r>
    </w:p>
    <w:p>
      <w:pPr>
        <w:ind w:right="40"/>
        <w:spacing w:after="0" w:line="215" w:lineRule="auto"/>
        <w:rPr>
          <w:sz w:val="20"/>
          <w:szCs w:val="20"/>
          <w:color w:val="auto"/>
        </w:rPr>
      </w:pPr>
      <w:r>
        <w:rPr>
          <w:rFonts w:ascii="Times New Roman" w:cs="Times New Roman" w:eastAsia="Times New Roman" w:hAnsi="Times New Roman"/>
          <w:sz w:val="19"/>
          <w:szCs w:val="19"/>
          <w:color w:val="auto"/>
        </w:rPr>
        <w:t>anniversary of the Closing, 108%; (d) if after the sixth but prior to or on the seventh anniversary of the Closing, 106%; (e) if after the seventh but prior to or on the eighth anniversary of the Closing, 104%; (f) if after the eighth but prior to or on the ninth anniversary of the Closing,</w:t>
      </w:r>
    </w:p>
    <w:p>
      <w:pPr>
        <w:spacing w:after="0"/>
        <w:rPr>
          <w:sz w:val="20"/>
          <w:szCs w:val="20"/>
          <w:color w:val="auto"/>
        </w:rPr>
      </w:pPr>
      <w:r>
        <w:rPr>
          <w:rFonts w:ascii="Times New Roman" w:cs="Times New Roman" w:eastAsia="Times New Roman" w:hAnsi="Times New Roman"/>
          <w:sz w:val="20"/>
          <w:szCs w:val="20"/>
          <w:color w:val="auto"/>
        </w:rPr>
        <w:t>102%; or (g) if after the ninth anniversary of the Closing, 100%.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Optional Term Redemption </w:t>
      </w:r>
      <w:r>
        <w:rPr>
          <w:rFonts w:ascii="Times New Roman" w:cs="Times New Roman" w:eastAsia="Times New Roman" w:hAnsi="Times New Roman"/>
          <w:sz w:val="20"/>
          <w:szCs w:val="20"/>
          <w:color w:val="auto"/>
        </w:rPr>
        <w:t>— Any time after the fifth anniversary of the Closing, the Company may redeem all or any portion of the then-</w:t>
      </w:r>
    </w:p>
    <w:p>
      <w:pPr>
        <w:ind w:right="20"/>
        <w:spacing w:after="0" w:line="215" w:lineRule="auto"/>
        <w:rPr>
          <w:sz w:val="20"/>
          <w:szCs w:val="20"/>
          <w:color w:val="auto"/>
        </w:rPr>
      </w:pPr>
      <w:r>
        <w:rPr>
          <w:rFonts w:ascii="Times New Roman" w:cs="Times New Roman" w:eastAsia="Times New Roman" w:hAnsi="Times New Roman"/>
          <w:sz w:val="19"/>
          <w:szCs w:val="19"/>
          <w:color w:val="auto"/>
        </w:rPr>
        <w:t>outstanding shares of the Series A Convertible Preferred Stock for cash (a "Term Redemption"). The redemption price per share to be paid by the Company would be equal to the greater of: (i) the Series A Purchase Price plus any accrued but unpaid Accruing Dividends multiplied</w:t>
      </w:r>
    </w:p>
    <w:p>
      <w:pPr>
        <w:spacing w:after="0" w:line="211" w:lineRule="auto"/>
        <w:rPr>
          <w:sz w:val="20"/>
          <w:szCs w:val="20"/>
          <w:color w:val="auto"/>
        </w:rPr>
      </w:pPr>
      <w:r>
        <w:rPr>
          <w:rFonts w:ascii="Times New Roman" w:cs="Times New Roman" w:eastAsia="Times New Roman" w:hAnsi="Times New Roman"/>
          <w:sz w:val="20"/>
          <w:szCs w:val="20"/>
          <w:color w:val="auto"/>
        </w:rPr>
        <w:t>by: (a) if after the fifth but prior to the sixth anniversary of the Closing, 110%; (b) if on or after the sixth but prior to the seventh anniversary</w:t>
      </w:r>
    </w:p>
    <w:p>
      <w:pPr>
        <w:ind w:right="20"/>
        <w:spacing w:after="0" w:line="215" w:lineRule="auto"/>
        <w:rPr>
          <w:sz w:val="20"/>
          <w:szCs w:val="20"/>
          <w:color w:val="auto"/>
        </w:rPr>
      </w:pPr>
      <w:r>
        <w:rPr>
          <w:rFonts w:ascii="Times New Roman" w:cs="Times New Roman" w:eastAsia="Times New Roman" w:hAnsi="Times New Roman"/>
          <w:sz w:val="19"/>
          <w:szCs w:val="19"/>
          <w:color w:val="auto"/>
        </w:rPr>
        <w:t>of the Closing, 108%; (c) if on or after the seventh but prior to the eighth anniversary of the Closing, 106%; (d) if on or after the eighth but prior to the ninth anniversary of the Closing, 104%; (e) if on or after the ninth but prior to the tenth anniversary of the Closing, 102%; or (f) if</w:t>
      </w:r>
    </w:p>
    <w:p>
      <w:pPr>
        <w:ind w:right="300"/>
        <w:spacing w:after="0" w:line="228" w:lineRule="auto"/>
        <w:rPr>
          <w:sz w:val="20"/>
          <w:szCs w:val="20"/>
          <w:color w:val="auto"/>
        </w:rPr>
      </w:pPr>
      <w:r>
        <w:rPr>
          <w:rFonts w:ascii="Times New Roman" w:cs="Times New Roman" w:eastAsia="Times New Roman" w:hAnsi="Times New Roman"/>
          <w:sz w:val="20"/>
          <w:szCs w:val="20"/>
          <w:color w:val="auto"/>
        </w:rPr>
        <w:t>on or after the tenth anniversary of the Closing, 100%; and (ii) the amount such share of Series A Convertible Preferred Stock would have received had it converted into Class A Common Stock prior to the Term Redemption.</w:t>
      </w:r>
    </w:p>
    <w:p>
      <w:pPr>
        <w:spacing w:after="0" w:line="17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9"/>
          <w:szCs w:val="19"/>
          <w:i w:val="1"/>
          <w:iCs w:val="1"/>
          <w:color w:val="auto"/>
        </w:rPr>
        <w:t xml:space="preserve">Registration Rights Agreement </w:t>
      </w:r>
      <w:r>
        <w:rPr>
          <w:rFonts w:ascii="Times New Roman" w:cs="Times New Roman" w:eastAsia="Times New Roman" w:hAnsi="Times New Roman"/>
          <w:sz w:val="19"/>
          <w:szCs w:val="19"/>
          <w:color w:val="auto"/>
        </w:rPr>
        <w:t>— In connection with the Private Placement, the Company entered into a registration rights agreement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Investors (the "Registration Rights Agreement") pursuant to which, the Investors are entitled to certain demand, shelf and piggyback</w:t>
      </w:r>
    </w:p>
    <w:p>
      <w:pPr>
        <w:spacing w:after="0" w:line="1" w:lineRule="exact"/>
        <w:rPr>
          <w:sz w:val="20"/>
          <w:szCs w:val="20"/>
          <w:color w:val="auto"/>
        </w:rPr>
      </w:pPr>
    </w:p>
    <w:p>
      <w:pPr>
        <w:ind w:right="860"/>
        <w:spacing w:after="0" w:line="221" w:lineRule="auto"/>
        <w:rPr>
          <w:sz w:val="20"/>
          <w:szCs w:val="20"/>
          <w:color w:val="auto"/>
        </w:rPr>
      </w:pPr>
      <w:r>
        <w:rPr>
          <w:rFonts w:ascii="Times New Roman" w:cs="Times New Roman" w:eastAsia="Times New Roman" w:hAnsi="Times New Roman"/>
          <w:sz w:val="20"/>
          <w:szCs w:val="20"/>
          <w:color w:val="auto"/>
        </w:rPr>
        <w:t>registration rights with respect to the Series A Convertible Preferred Stock and shares of the Class A Common Stock issuable upon conversion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 Stockholders'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206"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0"/>
          <w:szCs w:val="20"/>
          <w:color w:val="auto"/>
        </w:rPr>
        <w:t>Hagerty, Inc. is authorized to issue 500,000,000 shares of Class A Common Stock with a par value of $0.0001 per share. Holders of Class A Common Stock are entitled to one vote for each share. As of September 30, 2026 and December 31, 2025, there were 120,569,434 and 100,706,893 shares of Class A Common Stock issued and outstanding,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V Common Stock</w:t>
      </w:r>
    </w:p>
    <w:p>
      <w:pPr>
        <w:spacing w:after="0" w:line="220"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Hagerty, Inc. is authorized to issue 300,000,000 shares of Class V Common Stock with a par value of $0.0001 per share. Class V Common Stock represents voting, non-economic interests in Hagerty, Inc. Holders of Class V Common Stock are entitled to 10 votes for each share. In</w:t>
      </w:r>
    </w:p>
    <w:p>
      <w:pPr>
        <w:spacing w:after="0" w:line="211" w:lineRule="auto"/>
        <w:rPr>
          <w:sz w:val="20"/>
          <w:szCs w:val="20"/>
          <w:color w:val="auto"/>
        </w:rPr>
      </w:pPr>
      <w:r>
        <w:rPr>
          <w:rFonts w:ascii="Times New Roman" w:cs="Times New Roman" w:eastAsia="Times New Roman" w:hAnsi="Times New Roman"/>
          <w:sz w:val="20"/>
          <w:szCs w:val="20"/>
          <w:color w:val="auto"/>
        </w:rPr>
        <w:t>connection with the business combination that formed Hagerty, Inc. in 2021, shares of Class V Common Stock were issued to HHC and</w:t>
      </w:r>
    </w:p>
    <w:p>
      <w:pPr>
        <w:spacing w:after="0" w:line="1" w:lineRule="exact"/>
        <w:rPr>
          <w:sz w:val="20"/>
          <w:szCs w:val="20"/>
          <w:color w:val="auto"/>
        </w:rPr>
      </w:pPr>
    </w:p>
    <w:p>
      <w:pPr>
        <w:ind w:right="680"/>
        <w:spacing w:after="0" w:line="215" w:lineRule="auto"/>
        <w:rPr>
          <w:sz w:val="20"/>
          <w:szCs w:val="20"/>
          <w:color w:val="auto"/>
        </w:rPr>
      </w:pPr>
      <w:r>
        <w:rPr>
          <w:rFonts w:ascii="Times New Roman" w:cs="Times New Roman" w:eastAsia="Times New Roman" w:hAnsi="Times New Roman"/>
          <w:sz w:val="19"/>
          <w:szCs w:val="19"/>
          <w:color w:val="auto"/>
        </w:rPr>
        <w:t>Markel (together, the "Legacy Unit Holders") along with an equivalent number of THG units. Each share of Class V Common Stock, together with the corresponding THG unit, is exchangeable for one share of Class A Common Stock. As of September 30, 2026 and</w:t>
      </w:r>
    </w:p>
    <w:p>
      <w:pPr>
        <w:ind w:right="180"/>
        <w:spacing w:after="0" w:line="228" w:lineRule="auto"/>
        <w:rPr>
          <w:sz w:val="20"/>
          <w:szCs w:val="20"/>
          <w:color w:val="auto"/>
        </w:rPr>
      </w:pPr>
      <w:r>
        <w:rPr>
          <w:rFonts w:ascii="Times New Roman" w:cs="Times New Roman" w:eastAsia="Times New Roman" w:hAnsi="Times New Roman"/>
          <w:sz w:val="20"/>
          <w:szCs w:val="20"/>
          <w:color w:val="auto"/>
        </w:rPr>
        <w:t>December 31, 2025, there were 223,078,245 and 241,552,156 shares of Class V Common Stock issued and outstanding, respectively. Refer to "</w:t>
      </w:r>
      <w:r>
        <w:rPr>
          <w:rFonts w:ascii="Times New Roman" w:cs="Times New Roman" w:eastAsia="Times New Roman" w:hAnsi="Times New Roman"/>
          <w:sz w:val="20"/>
          <w:szCs w:val="20"/>
          <w:i w:val="1"/>
          <w:iCs w:val="1"/>
          <w:color w:val="auto"/>
        </w:rPr>
        <w:t>Exchange of THG Units</w:t>
      </w:r>
      <w:r>
        <w:rPr>
          <w:rFonts w:ascii="Times New Roman" w:cs="Times New Roman" w:eastAsia="Times New Roman" w:hAnsi="Times New Roman"/>
          <w:sz w:val="20"/>
          <w:szCs w:val="20"/>
          <w:color w:val="auto"/>
        </w:rPr>
        <w:t>"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Hagerty, Inc. is authorized to issue 20,000,000 shares of Preferred Stock with a par value of $0.0001 per share. The Board has the authority to issue shares of Preferred Stock with such designations, voting and other rights and preferences as may be determined from time to time.</w:t>
      </w:r>
    </w:p>
    <w:p>
      <w:pPr>
        <w:spacing w:after="0" w:line="175"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As of September 30, 2026 and December 31, 2025, there were 8,483,561 shares of Preferred Stock issued and outstanding, which may, at the option of the holder, be converted at any time into shares of Class A Common Stock. Refer to Note 15 — Convertible Preferred Stock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Hagerty, Inc. owns one THG unit for each share of Class A Common Stock outstanding, and is the sole managing member of THG. As a</w:t>
      </w:r>
    </w:p>
    <w:p>
      <w:pPr>
        <w:ind w:right="160"/>
        <w:spacing w:after="0" w:line="215" w:lineRule="auto"/>
        <w:rPr>
          <w:sz w:val="20"/>
          <w:szCs w:val="20"/>
          <w:color w:val="auto"/>
        </w:rPr>
      </w:pPr>
      <w:r>
        <w:rPr>
          <w:rFonts w:ascii="Times New Roman" w:cs="Times New Roman" w:eastAsia="Times New Roman" w:hAnsi="Times New Roman"/>
          <w:sz w:val="19"/>
          <w:szCs w:val="19"/>
          <w:color w:val="auto"/>
        </w:rPr>
        <w:t>result, Hagerty, Inc. consolidates the financial statements of THG into its Condensed Consolidated Financial Statements. The Company reports a non-controlling interest representing the economic interest in THG held by other unit holders of THG. Refer to "</w:t>
      </w:r>
      <w:r>
        <w:rPr>
          <w:rFonts w:ascii="Times New Roman" w:cs="Times New Roman" w:eastAsia="Times New Roman" w:hAnsi="Times New Roman"/>
          <w:sz w:val="19"/>
          <w:szCs w:val="19"/>
          <w:i w:val="1"/>
          <w:iCs w:val="1"/>
          <w:color w:val="auto"/>
        </w:rPr>
        <w:t>Exchange of THG</w:t>
      </w:r>
    </w:p>
    <w:p>
      <w:pPr>
        <w:spacing w:after="0"/>
        <w:rPr>
          <w:sz w:val="20"/>
          <w:szCs w:val="20"/>
          <w:color w:val="auto"/>
        </w:rPr>
      </w:pPr>
      <w:r>
        <w:rPr>
          <w:rFonts w:ascii="Times New Roman" w:cs="Times New Roman" w:eastAsia="Times New Roman" w:hAnsi="Times New Roman"/>
          <w:sz w:val="20"/>
          <w:szCs w:val="20"/>
          <w:i w:val="1"/>
          <w:iCs w:val="1"/>
          <w:color w:val="auto"/>
        </w:rPr>
        <w:t>Units</w:t>
      </w:r>
      <w:r>
        <w:rPr>
          <w:rFonts w:ascii="Times New Roman" w:cs="Times New Roman" w:eastAsia="Times New Roman" w:hAnsi="Times New Roman"/>
          <w:sz w:val="20"/>
          <w:szCs w:val="20"/>
          <w:color w:val="auto"/>
        </w:rPr>
        <w:t>"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changes in ownership of THG units for the three and nine months ended September 30, 2026 and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3120" w:type="dxa"/>
            <w:vAlign w:val="bottom"/>
            <w:gridSpan w:val="4"/>
          </w:tcPr>
          <w:p>
            <w:pPr>
              <w:jc w:val="center"/>
              <w:ind w:right="6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3060" w:type="dxa"/>
            <w:vAlign w:val="bottom"/>
            <w:gridSpan w:val="3"/>
          </w:tcPr>
          <w:p>
            <w:pPr>
              <w:jc w:val="right"/>
              <w:ind w:right="66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2"/>
                <w:szCs w:val="22"/>
                <w:color w:val="auto"/>
              </w:rPr>
            </w:pPr>
          </w:p>
        </w:tc>
        <w:tc>
          <w:tcPr>
            <w:tcW w:w="3120" w:type="dxa"/>
            <w:vAlign w:val="bottom"/>
            <w:gridSpan w:val="4"/>
          </w:tcPr>
          <w:p>
            <w:pPr>
              <w:jc w:val="center"/>
              <w:ind w:right="60"/>
              <w:spacing w:after="0"/>
              <w:rPr>
                <w:sz w:val="20"/>
                <w:szCs w:val="20"/>
                <w:color w:val="auto"/>
              </w:rPr>
            </w:pPr>
            <w:r>
              <w:rPr>
                <w:rFonts w:ascii="Times New Roman" w:cs="Times New Roman" w:eastAsia="Times New Roman" w:hAnsi="Times New Roman"/>
                <w:sz w:val="20"/>
                <w:szCs w:val="20"/>
                <w:color w:val="auto"/>
                <w:w w:val="98"/>
              </w:rPr>
              <w:t>September 30,</w:t>
            </w:r>
          </w:p>
        </w:tc>
        <w:tc>
          <w:tcPr>
            <w:tcW w:w="3060" w:type="dxa"/>
            <w:vAlign w:val="bottom"/>
            <w:gridSpan w:val="3"/>
          </w:tcPr>
          <w:p>
            <w:pPr>
              <w:jc w:val="right"/>
              <w:ind w:right="86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Borders>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THG units held by Hagerty, Inc.</w:t>
            </w: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Beginning of period</w:t>
            </w: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101,804,938</w:t>
            </w:r>
          </w:p>
        </w:tc>
        <w:tc>
          <w:tcPr>
            <w:tcW w:w="80" w:type="dxa"/>
            <w:vAlign w:val="bottom"/>
          </w:tcPr>
          <w:p>
            <w:pPr>
              <w:spacing w:after="0"/>
              <w:rPr>
                <w:sz w:val="22"/>
                <w:szCs w:val="22"/>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90,715,648</w:t>
            </w:r>
          </w:p>
        </w:tc>
        <w:tc>
          <w:tcPr>
            <w:tcW w:w="80" w:type="dxa"/>
            <w:vAlign w:val="bottom"/>
          </w:tcPr>
          <w:p>
            <w:pPr>
              <w:spacing w:after="0"/>
              <w:rPr>
                <w:sz w:val="22"/>
                <w:szCs w:val="22"/>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100,706,893</w:t>
            </w:r>
          </w:p>
        </w:tc>
        <w:tc>
          <w:tcPr>
            <w:tcW w:w="80" w:type="dxa"/>
            <w:vAlign w:val="bottom"/>
          </w:tcPr>
          <w:p>
            <w:pPr>
              <w:spacing w:after="0"/>
              <w:rPr>
                <w:sz w:val="22"/>
                <w:szCs w:val="22"/>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90,032,391</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Issuance of shares under employee plans</w:t>
            </w: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265,585</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226,575</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939,228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831,530</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Exchange of THG units for Class A Common Stock</w:t>
            </w:r>
          </w:p>
        </w:tc>
        <w:tc>
          <w:tcPr>
            <w:tcW w:w="14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18,498,911</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9,484,250</w:t>
            </w:r>
          </w:p>
        </w:tc>
        <w:tc>
          <w:tcPr>
            <w:tcW w:w="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18,923,313</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9,562,552</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End of period</w:t>
            </w: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120,569,434</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100,426,473</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120,569,434</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100,426,473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Ownership percentage</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Beginning of period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26.2 %</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26.1 %</w:t>
            </w:r>
          </w:p>
        </w:tc>
        <w:tc>
          <w:tcPr>
            <w:tcW w:w="0" w:type="dxa"/>
            <w:vAlign w:val="bottom"/>
          </w:tcPr>
          <w:p>
            <w:pPr>
              <w:spacing w:after="0"/>
              <w:rPr>
                <w:sz w:val="1"/>
                <w:szCs w:val="1"/>
                <w:color w:val="auto"/>
              </w:rPr>
            </w:pPr>
          </w:p>
        </w:tc>
      </w:tr>
      <w:tr>
        <w:trPr>
          <w:trHeight w:val="257"/>
        </w:trPr>
        <w:tc>
          <w:tcPr>
            <w:tcW w:w="5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End of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34.7 %</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29.0 %</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34.7 %</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29.0 %</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THG units held by other unit holders</w:t>
            </w: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Beginning of period</w:t>
            </w: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244,996,392</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255,100,044</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245,420,794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255,178,346</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Exchange of THG units for Class A Common Stock</w:t>
            </w:r>
          </w:p>
        </w:tc>
        <w:tc>
          <w:tcPr>
            <w:tcW w:w="14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(18,498,911)</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(9,484,250)</w:t>
            </w:r>
          </w:p>
        </w:tc>
        <w:tc>
          <w:tcPr>
            <w:tcW w:w="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(18,923,313)</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(9,562,552)</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End of period</w:t>
            </w: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226,497,481</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245,615,794</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226,497,481</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245,615,794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Ownership percentage</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Beginning of period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70.6 %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73.8 %</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70.9 %</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73.9 %</w:t>
            </w:r>
          </w:p>
        </w:tc>
        <w:tc>
          <w:tcPr>
            <w:tcW w:w="0" w:type="dxa"/>
            <w:vAlign w:val="bottom"/>
          </w:tcPr>
          <w:p>
            <w:pPr>
              <w:spacing w:after="0"/>
              <w:rPr>
                <w:sz w:val="1"/>
                <w:szCs w:val="1"/>
                <w:color w:val="auto"/>
              </w:rPr>
            </w:pPr>
          </w:p>
        </w:tc>
      </w:tr>
      <w:tr>
        <w:trPr>
          <w:trHeight w:val="257"/>
        </w:trPr>
        <w:tc>
          <w:tcPr>
            <w:tcW w:w="5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End of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65.3 %</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71.0 %</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65.3 %</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71.0 %</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THG units outstanding</w:t>
            </w: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347,066,915</w:t>
            </w:r>
          </w:p>
        </w:tc>
        <w:tc>
          <w:tcPr>
            <w:tcW w:w="80" w:type="dxa"/>
            <w:vAlign w:val="bottom"/>
          </w:tcPr>
          <w:p>
            <w:pPr>
              <w:spacing w:after="0"/>
              <w:rPr>
                <w:sz w:val="22"/>
                <w:szCs w:val="22"/>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346,042,267</w:t>
            </w:r>
          </w:p>
        </w:tc>
        <w:tc>
          <w:tcPr>
            <w:tcW w:w="80" w:type="dxa"/>
            <w:vAlign w:val="bottom"/>
          </w:tcPr>
          <w:p>
            <w:pPr>
              <w:spacing w:after="0"/>
              <w:rPr>
                <w:sz w:val="22"/>
                <w:szCs w:val="22"/>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347,066,915</w:t>
            </w:r>
          </w:p>
        </w:tc>
        <w:tc>
          <w:tcPr>
            <w:tcW w:w="80" w:type="dxa"/>
            <w:vAlign w:val="bottom"/>
          </w:tcPr>
          <w:p>
            <w:pPr>
              <w:spacing w:after="0"/>
              <w:rPr>
                <w:sz w:val="22"/>
                <w:szCs w:val="22"/>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346,042,267</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auto"/>
        </w:rPr>
        <w:t>At the end of each reporting period, THG equity attributable to Hagerty, Inc. and the non-controlling interest unit holders, respectively, is reallocated to reflect their current ownership in THG.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Shares Issued Under Employee Plans</w:t>
      </w:r>
    </w:p>
    <w:p>
      <w:pPr>
        <w:spacing w:after="0" w:line="20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9"/>
          <w:szCs w:val="19"/>
          <w:color w:val="auto"/>
        </w:rPr>
        <w:t>Certain employees of THG subsidiaries are awarded share-based compensation in the form of restricted stock units ("RSUs") and performance restricted stock units ("PRSUs") under the 2021 Stock Incentive Plan. Upon the vesting of these awards, the employees receive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shares of Class A Common Stock and the Company is issued an equivalent number of THG units, thereby increasing its ownership interest in THG. Employees of THG subsidiaries may also participate in the 2021 Employee Stock Purchase Plan (the "ESPP") under which these</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20"/>
          <w:szCs w:val="20"/>
          <w:color w:val="auto"/>
        </w:rPr>
        <w:t>employees may purchase shares of Class A Common Stock at a discounted price and the Company is issued an equivalent number of THG units.</w:t>
      </w:r>
    </w:p>
    <w:p>
      <w:pPr>
        <w:spacing w:after="0" w:line="176"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9"/>
          <w:szCs w:val="19"/>
          <w:color w:val="auto"/>
        </w:rPr>
        <w:t>During the nine months ended September 30, 2026 and 2025, the Company received 908,702 and 797,980 THG units, respectively, in connection with shares of Class A Common Stock that were issued as a result of share-based compensation awards vesting under the 2021</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20"/>
          <w:szCs w:val="20"/>
          <w:color w:val="auto"/>
        </w:rPr>
        <w:t>Stock Incentive Plan. In addition, during the nine months ended September 30, 2026 and 2025, the Company received 30,526 and 33,550 THG units, respectively, in connection with shares of Class A Common Stock that were issued related to the ESPP.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Exchange of THG Units</w:t>
      </w:r>
    </w:p>
    <w:p>
      <w:pPr>
        <w:spacing w:after="0" w:line="220"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Each THG unit and, if applicable, the associated share of Class V Common Stock, is exchangeable for, at the Company's option, one share of Class A Common Stock or cash. If the Company elects for an exchange to be settled in cash, the cash used to settle the exchange must be</w:t>
      </w:r>
    </w:p>
    <w:p>
      <w:pPr>
        <w:ind w:right="300"/>
        <w:spacing w:after="0" w:line="215" w:lineRule="auto"/>
        <w:rPr>
          <w:sz w:val="20"/>
          <w:szCs w:val="20"/>
          <w:color w:val="auto"/>
        </w:rPr>
      </w:pPr>
      <w:r>
        <w:rPr>
          <w:rFonts w:ascii="Times New Roman" w:cs="Times New Roman" w:eastAsia="Times New Roman" w:hAnsi="Times New Roman"/>
          <w:sz w:val="19"/>
          <w:szCs w:val="19"/>
          <w:color w:val="auto"/>
        </w:rPr>
        <w:t>funded through a new equity offering of Class A Common Stock. Upon completion of any THG unit exchange, shares of any exchanged Class V Common Stock are cancelled and Hagerty, Inc. retains the exchanged THG units. Changes in Hagerty, Inc.'s ownership interest in</w:t>
      </w:r>
    </w:p>
    <w:p>
      <w:pPr>
        <w:spacing w:after="0" w:line="211" w:lineRule="auto"/>
        <w:rPr>
          <w:sz w:val="20"/>
          <w:szCs w:val="20"/>
          <w:color w:val="auto"/>
        </w:rPr>
      </w:pPr>
      <w:r>
        <w:rPr>
          <w:rFonts w:ascii="Times New Roman" w:cs="Times New Roman" w:eastAsia="Times New Roman" w:hAnsi="Times New Roman"/>
          <w:sz w:val="20"/>
          <w:szCs w:val="20"/>
          <w:color w:val="auto"/>
        </w:rPr>
        <w:t>THG while retaining its controlling interest are accounted for as equity transactions. Accordingly, exchanges of THG units by unit holders</w:t>
      </w:r>
    </w:p>
    <w:p>
      <w:pPr>
        <w:ind w:right="160"/>
        <w:spacing w:after="0" w:line="221" w:lineRule="auto"/>
        <w:rPr>
          <w:sz w:val="20"/>
          <w:szCs w:val="20"/>
          <w:color w:val="auto"/>
        </w:rPr>
      </w:pPr>
      <w:r>
        <w:rPr>
          <w:rFonts w:ascii="Times New Roman" w:cs="Times New Roman" w:eastAsia="Times New Roman" w:hAnsi="Times New Roman"/>
          <w:sz w:val="20"/>
          <w:szCs w:val="20"/>
          <w:color w:val="auto"/>
        </w:rPr>
        <w:t>other than Hagerty, Inc. increase Hagerty, Inc.'s ownership in THG, thereby reducing the amount recorded as "Non-controlling interest" and increasing "Additional paid-in capital"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third quarter of 2026, HHC and Markel collectively exchanged 18,473,911 THG units together with the corresponding shares of Class</w:t>
      </w:r>
    </w:p>
    <w:p>
      <w:pPr>
        <w:spacing w:after="0" w:line="6"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V Common Stock, for an equal number of shares of Class A Common Stock (the "2026 THG Unit Exchange"). Immediately following the 2026 THG Unit Exchange, pursuant to an underwriting agreement dated as of September 9, 2026, by and among the Company, THG, HHC,</w:t>
      </w:r>
    </w:p>
    <w:p>
      <w:pPr>
        <w:ind w:right="240"/>
        <w:spacing w:after="0" w:line="228" w:lineRule="auto"/>
        <w:rPr>
          <w:sz w:val="20"/>
          <w:szCs w:val="20"/>
          <w:color w:val="auto"/>
        </w:rPr>
      </w:pPr>
      <w:r>
        <w:rPr>
          <w:rFonts w:ascii="Times New Roman" w:cs="Times New Roman" w:eastAsia="Times New Roman" w:hAnsi="Times New Roman"/>
          <w:sz w:val="20"/>
          <w:szCs w:val="20"/>
          <w:color w:val="auto"/>
        </w:rPr>
        <w:t>as the selling stockholder, and the underwriters named therein, HHC sold 10,637,500 shares of Class A Common Stock to the underwriters (the "2026 Secondary Offering").</w:t>
      </w:r>
    </w:p>
    <w:p>
      <w:pPr>
        <w:spacing w:after="0" w:line="176"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9"/>
          <w:szCs w:val="19"/>
          <w:color w:val="auto"/>
        </w:rPr>
        <w:t>In the third quarter of 2025, HHC exchanged 9,481,750 THG units together with the corresponding shares of Class V Common Stock for an equal number of shares of Class A Common Stock (the "2025 THG Unit Exchange"). Immediately following the 2025 THG Unit Exchange,</w:t>
      </w:r>
    </w:p>
    <w:p>
      <w:pPr>
        <w:spacing w:after="0" w:line="1"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19"/>
          <w:szCs w:val="19"/>
          <w:color w:val="auto"/>
        </w:rPr>
        <w:t>pursuant to an underwriting agreement dated as of August 7, 2025, by and among the Company, THG, the underwriters, and the selling stockholders named therein, HHC sold 9,481,750 shares of Class A Common Stock to the underwriters (the "2025 Secondary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exchanges of THG units for shares of Class A Common Stock for the three and nine months ended</w:t>
      </w:r>
    </w:p>
    <w:p>
      <w:pPr>
        <w:spacing w:after="0"/>
        <w:rPr>
          <w:sz w:val="20"/>
          <w:szCs w:val="20"/>
          <w:color w:val="auto"/>
        </w:rPr>
      </w:pPr>
      <w:r>
        <w:rPr>
          <w:rFonts w:ascii="Times New Roman" w:cs="Times New Roman" w:eastAsia="Times New Roman" w:hAnsi="Times New Roman"/>
          <w:sz w:val="20"/>
          <w:szCs w:val="20"/>
          <w:color w:val="auto"/>
        </w:rPr>
        <w:t>September 30, 2026 and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940" w:type="dxa"/>
            <w:vAlign w:val="bottom"/>
            <w:gridSpan w:val="4"/>
          </w:tcPr>
          <w:p>
            <w:pPr>
              <w:jc w:val="center"/>
              <w:ind w:right="140"/>
              <w:spacing w:after="0"/>
              <w:rPr>
                <w:sz w:val="20"/>
                <w:szCs w:val="20"/>
                <w:color w:val="auto"/>
              </w:rPr>
            </w:pPr>
            <w:r>
              <w:rPr>
                <w:rFonts w:ascii="Times New Roman" w:cs="Times New Roman" w:eastAsia="Times New Roman" w:hAnsi="Times New Roman"/>
                <w:sz w:val="20"/>
                <w:szCs w:val="20"/>
                <w:color w:val="auto"/>
                <w:w w:val="97"/>
              </w:rPr>
              <w:t>Three months ended</w:t>
            </w:r>
          </w:p>
        </w:tc>
        <w:tc>
          <w:tcPr>
            <w:tcW w:w="2800" w:type="dxa"/>
            <w:vAlign w:val="bottom"/>
            <w:gridSpan w:val="3"/>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5500" w:type="dxa"/>
            <w:vAlign w:val="bottom"/>
          </w:tcPr>
          <w:p>
            <w:pPr>
              <w:spacing w:after="0"/>
              <w:rPr>
                <w:sz w:val="21"/>
                <w:szCs w:val="21"/>
                <w:color w:val="auto"/>
              </w:rPr>
            </w:pPr>
          </w:p>
        </w:tc>
        <w:tc>
          <w:tcPr>
            <w:tcW w:w="2940" w:type="dxa"/>
            <w:vAlign w:val="bottom"/>
            <w:gridSpan w:val="4"/>
          </w:tcPr>
          <w:p>
            <w:pPr>
              <w:jc w:val="center"/>
              <w:ind w:right="140"/>
              <w:spacing w:after="0"/>
              <w:rPr>
                <w:sz w:val="20"/>
                <w:szCs w:val="20"/>
                <w:color w:val="auto"/>
              </w:rPr>
            </w:pPr>
            <w:r>
              <w:rPr>
                <w:rFonts w:ascii="Times New Roman" w:cs="Times New Roman" w:eastAsia="Times New Roman" w:hAnsi="Times New Roman"/>
                <w:sz w:val="20"/>
                <w:szCs w:val="20"/>
                <w:color w:val="auto"/>
              </w:rPr>
              <w:t>September 30,</w:t>
            </w:r>
          </w:p>
        </w:tc>
        <w:tc>
          <w:tcPr>
            <w:tcW w:w="2800" w:type="dxa"/>
            <w:vAlign w:val="bottom"/>
            <w:gridSpan w:val="3"/>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550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THG units exchanged:</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HHC</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10,637,500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9,481,750</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10,637,500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9,481,750</w:t>
            </w:r>
          </w:p>
        </w:tc>
      </w:tr>
      <w:tr>
        <w:trPr>
          <w:trHeight w:val="256"/>
        </w:trPr>
        <w:tc>
          <w:tcPr>
            <w:tcW w:w="5500" w:type="dxa"/>
            <w:vAlign w:val="bottom"/>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Markel </w:t>
            </w:r>
            <w:r>
              <w:rPr>
                <w:rFonts w:ascii="Times New Roman" w:cs="Times New Roman" w:eastAsia="Times New Roman" w:hAnsi="Times New Roman"/>
                <w:sz w:val="25"/>
                <w:szCs w:val="25"/>
                <w:color w:val="auto"/>
                <w:vertAlign w:val="superscript"/>
              </w:rPr>
              <w:t>(1)</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7,836,411</w:t>
            </w:r>
          </w:p>
        </w:tc>
        <w:tc>
          <w:tcPr>
            <w:tcW w:w="160" w:type="dxa"/>
            <w:vAlign w:val="bottom"/>
          </w:tcPr>
          <w:p>
            <w:pPr>
              <w:spacing w:after="0"/>
              <w:rPr>
                <w:sz w:val="22"/>
                <w:szCs w:val="22"/>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7,836,411</w:t>
            </w:r>
          </w:p>
        </w:tc>
        <w:tc>
          <w:tcPr>
            <w:tcW w:w="16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500" w:type="dxa"/>
            <w:vAlign w:val="bottom"/>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5"/>
                <w:szCs w:val="25"/>
                <w:color w:val="auto"/>
                <w:vertAlign w:val="superscript"/>
              </w:rPr>
              <w:t>(2)</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25,000</w:t>
            </w:r>
          </w:p>
        </w:tc>
        <w:tc>
          <w:tcPr>
            <w:tcW w:w="16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2,500</w:t>
            </w:r>
          </w:p>
        </w:tc>
        <w:tc>
          <w:tcPr>
            <w:tcW w:w="14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449,402</w:t>
            </w:r>
          </w:p>
        </w:tc>
        <w:tc>
          <w:tcPr>
            <w:tcW w:w="16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80,802</w:t>
            </w: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THG units exchanged</w:t>
            </w: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18,498,911</w:t>
            </w:r>
          </w:p>
        </w:tc>
        <w:tc>
          <w:tcPr>
            <w:tcW w:w="160" w:type="dxa"/>
            <w:vAlign w:val="bottom"/>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9,484,250</w:t>
            </w:r>
          </w:p>
        </w:tc>
        <w:tc>
          <w:tcPr>
            <w:tcW w:w="140" w:type="dxa"/>
            <w:vAlign w:val="bottom"/>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18,923,313</w:t>
            </w:r>
          </w:p>
        </w:tc>
        <w:tc>
          <w:tcPr>
            <w:tcW w:w="160" w:type="dxa"/>
            <w:vAlign w:val="bottom"/>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9,562,552</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8"/>
        </w:trPr>
        <w:tc>
          <w:tcPr>
            <w:tcW w:w="5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Shares of Class V Common Stock cancelled</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18,473,911</w:t>
            </w:r>
          </w:p>
        </w:tc>
        <w:tc>
          <w:tcPr>
            <w:tcW w:w="16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9,481,750</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18,473,911</w:t>
            </w:r>
          </w:p>
        </w:tc>
        <w:tc>
          <w:tcPr>
            <w:tcW w:w="16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9,481,750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6746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99" w:lineRule="exact"/>
        <w:rPr>
          <w:sz w:val="20"/>
          <w:szCs w:val="20"/>
          <w:color w:val="auto"/>
        </w:rPr>
      </w:pPr>
    </w:p>
    <w:p>
      <w:pPr>
        <w:ind w:left="420" w:right="340" w:hanging="250"/>
        <w:spacing w:after="0" w:line="181" w:lineRule="auto"/>
        <w:tabs>
          <w:tab w:leader="none" w:pos="455"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Markel participated in the 2026 THG Unit Exchange in order to maintain compliance with regulatory requirements and did not participate in the 2026 Secondary Offering. Markel is a related party to the Company. Refer to Note 20 — Related-Party Transactions for additional information on related party transactions with Markel.</w:t>
      </w:r>
    </w:p>
    <w:p>
      <w:pPr>
        <w:spacing w:after="0" w:line="1" w:lineRule="exact"/>
        <w:rPr>
          <w:rFonts w:ascii="Times New Roman" w:cs="Times New Roman" w:eastAsia="Times New Roman" w:hAnsi="Times New Roman"/>
          <w:sz w:val="26"/>
          <w:szCs w:val="26"/>
          <w:color w:val="auto"/>
          <w:vertAlign w:val="superscript"/>
        </w:rPr>
      </w:pPr>
    </w:p>
    <w:p>
      <w:pPr>
        <w:ind w:left="420" w:right="120" w:hanging="250"/>
        <w:spacing w:after="0" w:line="182" w:lineRule="auto"/>
        <w:tabs>
          <w:tab w:leader="none" w:pos="455"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Certain other holders of THG units that do not hold corresponding shares of Class V Common Stock exchanged THG units for an equal number of shares of Class A Common Stock.</w:t>
      </w:r>
    </w:p>
    <w:p>
      <w:pPr>
        <w:spacing w:after="0" w:line="187"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auto"/>
        </w:rPr>
        <w:t>Collectively, the exchanges above resulted in reductions to "Non-controlling interest" and corresponding increases to "Additional paid-in capital" of $35.3 million and $16.6 million during the nine months ended September 30, 2026 and 2025, respectively.</w:t>
      </w:r>
    </w:p>
    <w:p>
      <w:pPr>
        <w:spacing w:after="0" w:line="175"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0"/>
          <w:szCs w:val="20"/>
          <w:color w:val="auto"/>
        </w:rPr>
        <w:t>During the nine months ended September 30, 2026 and 2025, the Company incurred $0.8 million and $1.2 million, respectively, in expenses associated with the THG unit exchanges and related secondary offerings, which were recorded within "Selling, general, and administrative expenses"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THG Preferred Units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the Private Placement, the Fourth Amended and Restated Limited Liability Company Agreement of THG was amended</w:t>
      </w:r>
    </w:p>
    <w:p>
      <w:pPr>
        <w:ind w:right="60"/>
        <w:spacing w:after="0" w:line="215" w:lineRule="auto"/>
        <w:rPr>
          <w:sz w:val="20"/>
          <w:szCs w:val="20"/>
          <w:color w:val="auto"/>
        </w:rPr>
      </w:pPr>
      <w:r>
        <w:rPr>
          <w:rFonts w:ascii="Times New Roman" w:cs="Times New Roman" w:eastAsia="Times New Roman" w:hAnsi="Times New Roman"/>
          <w:sz w:val="19"/>
          <w:szCs w:val="19"/>
          <w:color w:val="auto"/>
        </w:rPr>
        <w:t>and restated in the form of a Fifth Amended and Restated Limited Liability Company Agreement (as subsequently amended and restated, the "THG LLC Agreement"), to, among other things, create a new series of preferred units within THG (the "THG Preferred Units"). The terms</w:t>
      </w:r>
    </w:p>
    <w:p>
      <w:pPr>
        <w:spacing w:after="0"/>
        <w:rPr>
          <w:sz w:val="20"/>
          <w:szCs w:val="20"/>
          <w:color w:val="auto"/>
        </w:rPr>
      </w:pPr>
      <w:r>
        <w:rPr>
          <w:rFonts w:ascii="Times New Roman" w:cs="Times New Roman" w:eastAsia="Times New Roman" w:hAnsi="Times New Roman"/>
          <w:sz w:val="20"/>
          <w:szCs w:val="20"/>
          <w:color w:val="auto"/>
        </w:rPr>
        <w:t>of the THG Preferred Units parallel the terms of the Series A Convertible Preferred Stock and are held entirely by Hagerty, Inc.</w:t>
      </w:r>
    </w:p>
    <w:p>
      <w:pPr>
        <w:spacing w:after="0" w:line="194"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The THG Preferred Units are recorded on the financial statements of THG based on their estimated redemption value, which represents the maximum cash payment, including cumulative dividends, that would be required to be paid to Hagerty, Inc. if the Optional Term Redemption</w:t>
      </w:r>
    </w:p>
    <w:p>
      <w:pPr>
        <w:ind w:right="80"/>
        <w:spacing w:after="0" w:line="215" w:lineRule="auto"/>
        <w:rPr>
          <w:sz w:val="20"/>
          <w:szCs w:val="20"/>
          <w:color w:val="auto"/>
        </w:rPr>
      </w:pPr>
      <w:r>
        <w:rPr>
          <w:rFonts w:ascii="Times New Roman" w:cs="Times New Roman" w:eastAsia="Times New Roman" w:hAnsi="Times New Roman"/>
          <w:sz w:val="19"/>
          <w:szCs w:val="19"/>
          <w:color w:val="auto"/>
        </w:rPr>
        <w:t>of the Series A Convertible Preferred Stock is exercised. Amounts recognized to accrete the THG Preferred Units to their estimated redemption value are treated as a deemed dividend due to Hagerty, Inc. The amount of this deemed dividend is attributed entirely to Hagerty,</w:t>
      </w:r>
    </w:p>
    <w:p>
      <w:pPr>
        <w:spacing w:after="0" w:line="211" w:lineRule="auto"/>
        <w:rPr>
          <w:sz w:val="20"/>
          <w:szCs w:val="20"/>
          <w:color w:val="auto"/>
        </w:rPr>
      </w:pPr>
      <w:r>
        <w:rPr>
          <w:rFonts w:ascii="Times New Roman" w:cs="Times New Roman" w:eastAsia="Times New Roman" w:hAnsi="Times New Roman"/>
          <w:sz w:val="20"/>
          <w:szCs w:val="20"/>
          <w:color w:val="auto"/>
        </w:rPr>
        <w:t>Inc. prior to allocating the remainder of THG's consolidated net income or loss between controlling and non-controlling interests. In each of</w:t>
      </w:r>
    </w:p>
    <w:p>
      <w:pPr>
        <w:ind w:right="100"/>
        <w:spacing w:after="0" w:line="221" w:lineRule="auto"/>
        <w:rPr>
          <w:sz w:val="20"/>
          <w:szCs w:val="20"/>
          <w:color w:val="auto"/>
        </w:rPr>
      </w:pPr>
      <w:r>
        <w:rPr>
          <w:rFonts w:ascii="Times New Roman" w:cs="Times New Roman" w:eastAsia="Times New Roman" w:hAnsi="Times New Roman"/>
          <w:sz w:val="20"/>
          <w:szCs w:val="20"/>
          <w:color w:val="auto"/>
        </w:rPr>
        <w:t>June 2026 and 2025, THG paid $5.6 million of cash dividends to Hagerty, Inc. on the THG Preferred Units. Refer to Note 15 — Convertible Preferred Stock for additional information on the Private Placement and the Series A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 to Unit Holders of THG</w:t>
      </w:r>
    </w:p>
    <w:p>
      <w:pPr>
        <w:spacing w:after="0" w:line="220"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Under the terms of the THG LLC Agreement, THG is obligated to make tax distributions to its unit holders. During the nine months ended September 30, 2026 and 2025, THG made tax distributions of $11.1 million and $30.5 million, respectively, to non-controlling interest unit</w:t>
      </w:r>
    </w:p>
    <w:p>
      <w:pPr>
        <w:spacing w:after="0"/>
        <w:rPr>
          <w:sz w:val="20"/>
          <w:szCs w:val="20"/>
          <w:color w:val="auto"/>
        </w:rPr>
      </w:pPr>
      <w:r>
        <w:rPr>
          <w:rFonts w:ascii="Times New Roman" w:cs="Times New Roman" w:eastAsia="Times New Roman" w:hAnsi="Times New Roman"/>
          <w:sz w:val="20"/>
          <w:szCs w:val="20"/>
          <w:color w:val="auto"/>
        </w:rPr>
        <w:t>holders and $5.1 million and $11.9 million, respectively, of tax distributions to Hagerty,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 Share-Based Compensation</w:t>
      </w:r>
    </w:p>
    <w:p>
      <w:pPr>
        <w:spacing w:after="0" w:line="20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9"/>
          <w:szCs w:val="19"/>
          <w:color w:val="auto"/>
        </w:rPr>
        <w:t>The 2021 Stock Incentive Plan provides for the issuance of up to approximately 38.3 million shares of Class A Common Stock to certain employees and non-employee directors. The 2021 Stock Incentive Plan allows for the issuance of incentive stock options, non-qualified stock</w:t>
      </w:r>
    </w:p>
    <w:p>
      <w:pPr>
        <w:spacing w:after="0" w:line="1" w:lineRule="exact"/>
        <w:rPr>
          <w:sz w:val="20"/>
          <w:szCs w:val="20"/>
          <w:color w:val="auto"/>
        </w:rPr>
      </w:pPr>
    </w:p>
    <w:p>
      <w:pPr>
        <w:ind w:right="440"/>
        <w:spacing w:after="0" w:line="221" w:lineRule="auto"/>
        <w:rPr>
          <w:sz w:val="20"/>
          <w:szCs w:val="20"/>
          <w:color w:val="auto"/>
        </w:rPr>
      </w:pPr>
      <w:r>
        <w:rPr>
          <w:rFonts w:ascii="Times New Roman" w:cs="Times New Roman" w:eastAsia="Times New Roman" w:hAnsi="Times New Roman"/>
          <w:sz w:val="20"/>
          <w:szCs w:val="20"/>
          <w:color w:val="auto"/>
        </w:rPr>
        <w:t>options, restricted stock awards, stock appreciation rights, RSUs, and PRSUs. As of September 30, 2026, there were approximately 24.7 million shares available for future grants under the 2021 Stock Incentive Plan.</w:t>
      </w:r>
    </w:p>
    <w:p>
      <w:pPr>
        <w:spacing w:after="0" w:line="18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The following table summarizes share-based compensation expense recognized during the three and nine months ended September 30, 2026 and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Three months ended</w:t>
            </w:r>
          </w:p>
        </w:tc>
        <w:tc>
          <w:tcPr>
            <w:tcW w:w="480" w:type="dxa"/>
            <w:vAlign w:val="bottom"/>
          </w:tcPr>
          <w:p>
            <w:pPr>
              <w:spacing w:after="0"/>
              <w:rPr>
                <w:sz w:val="19"/>
                <w:szCs w:val="19"/>
                <w:color w:val="auto"/>
              </w:rPr>
            </w:pPr>
          </w:p>
        </w:tc>
        <w:tc>
          <w:tcPr>
            <w:tcW w:w="2280" w:type="dxa"/>
            <w:vAlign w:val="bottom"/>
            <w:gridSpan w:val="4"/>
          </w:tcPr>
          <w:p>
            <w:pPr>
              <w:jc w:val="right"/>
              <w:ind w:right="50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5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20"/>
                <w:szCs w:val="20"/>
                <w:color w:val="auto"/>
              </w:rPr>
              <w:t>September 30,</w:t>
            </w:r>
          </w:p>
        </w:tc>
        <w:tc>
          <w:tcPr>
            <w:tcW w:w="480" w:type="dxa"/>
            <w:vAlign w:val="bottom"/>
          </w:tcPr>
          <w:p>
            <w:pPr>
              <w:spacing w:after="0"/>
              <w:rPr>
                <w:sz w:val="21"/>
                <w:szCs w:val="21"/>
                <w:color w:val="auto"/>
              </w:rPr>
            </w:pPr>
          </w:p>
        </w:tc>
        <w:tc>
          <w:tcPr>
            <w:tcW w:w="2280" w:type="dxa"/>
            <w:vAlign w:val="bottom"/>
            <w:gridSpan w:val="4"/>
          </w:tcPr>
          <w:p>
            <w:pPr>
              <w:jc w:val="right"/>
              <w:ind w:right="701"/>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566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Restricted stock units</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3,502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3,579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10,110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10,500</w:t>
            </w:r>
          </w:p>
        </w:tc>
      </w:tr>
      <w:tr>
        <w:trPr>
          <w:trHeight w:val="25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Performance restricted stock units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1,714</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1,510</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4,816</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4,127</w:t>
            </w:r>
          </w:p>
        </w:tc>
      </w:tr>
      <w:tr>
        <w:trPr>
          <w:trHeight w:val="275"/>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share-based compensation expense</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5,216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5,089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14,926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14,627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20"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0"/>
          <w:szCs w:val="20"/>
          <w:color w:val="auto"/>
        </w:rPr>
        <w:t>RSUs typically vest over a three to five-year period based on the requisite service period. The grant date fair value is determined based on the closing market price of the Class A Common Stock on the business day prior to the grant date and the related share-based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 is recognized over the requisite service period on a straight-line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summary of RSU activity during the nine months ended September 30, 2026: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8"/>
              </w:rPr>
              <w:t>Restricted Stock</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6"/>
              </w:rPr>
              <w:t>Weighted Average</w:t>
            </w:r>
          </w:p>
        </w:tc>
        <w:tc>
          <w:tcPr>
            <w:tcW w:w="0" w:type="dxa"/>
            <w:vAlign w:val="bottom"/>
          </w:tcPr>
          <w:p>
            <w:pPr>
              <w:spacing w:after="0"/>
              <w:rPr>
                <w:sz w:val="1"/>
                <w:szCs w:val="1"/>
                <w:color w:val="auto"/>
              </w:rPr>
            </w:pPr>
          </w:p>
        </w:tc>
      </w:tr>
      <w:tr>
        <w:trPr>
          <w:trHeight w:val="198"/>
        </w:trPr>
        <w:tc>
          <w:tcPr>
            <w:tcW w:w="6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61"/>
              <w:spacing w:after="0" w:line="198" w:lineRule="exact"/>
              <w:rPr>
                <w:sz w:val="20"/>
                <w:szCs w:val="20"/>
                <w:color w:val="auto"/>
              </w:rPr>
            </w:pPr>
            <w:r>
              <w:rPr>
                <w:rFonts w:ascii="Times New Roman" w:cs="Times New Roman" w:eastAsia="Times New Roman" w:hAnsi="Times New Roman"/>
                <w:sz w:val="20"/>
                <w:szCs w:val="20"/>
                <w:color w:val="auto"/>
                <w:w w:val="98"/>
              </w:rPr>
              <w:t>Grant Date Fair</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Units</w:t>
            </w:r>
          </w:p>
        </w:tc>
        <w:tc>
          <w:tcPr>
            <w:tcW w:w="160" w:type="dxa"/>
            <w:vAlign w:val="bottom"/>
          </w:tcPr>
          <w:p>
            <w:pPr>
              <w:spacing w:after="0"/>
              <w:rPr>
                <w:sz w:val="22"/>
                <w:szCs w:val="22"/>
                <w:color w:val="auto"/>
              </w:rPr>
            </w:pPr>
          </w:p>
        </w:tc>
        <w:tc>
          <w:tcPr>
            <w:tcW w:w="152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2"/>
              </w:rPr>
              <w:t>Value</w:t>
            </w:r>
          </w:p>
        </w:tc>
        <w:tc>
          <w:tcPr>
            <w:tcW w:w="0" w:type="dxa"/>
            <w:vAlign w:val="bottom"/>
          </w:tcPr>
          <w:p>
            <w:pPr>
              <w:spacing w:after="0"/>
              <w:rPr>
                <w:sz w:val="1"/>
                <w:szCs w:val="1"/>
                <w:color w:val="auto"/>
              </w:rPr>
            </w:pPr>
          </w:p>
        </w:tc>
      </w:tr>
      <w:tr>
        <w:trPr>
          <w:trHeight w:val="25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balance as of January 1, 2026</w:t>
            </w:r>
          </w:p>
        </w:tc>
        <w:tc>
          <w:tcPr>
            <w:tcW w:w="168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3,548,091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9.56</w:t>
            </w:r>
          </w:p>
        </w:tc>
        <w:tc>
          <w:tcPr>
            <w:tcW w:w="0" w:type="dxa"/>
            <w:vAlign w:val="bottom"/>
          </w:tcPr>
          <w:p>
            <w:pPr>
              <w:spacing w:after="0"/>
              <w:rPr>
                <w:sz w:val="1"/>
                <w:szCs w:val="1"/>
                <w:color w:val="auto"/>
              </w:rPr>
            </w:pPr>
          </w:p>
        </w:tc>
      </w:tr>
      <w:tr>
        <w:trPr>
          <w:trHeight w:val="256"/>
        </w:trPr>
        <w:tc>
          <w:tcPr>
            <w:tcW w:w="6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903,316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5"/>
                <w:szCs w:val="25"/>
                <w:color w:val="auto"/>
                <w:vertAlign w:val="superscript"/>
              </w:rPr>
              <w:t>(1)</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(1,344,880)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9.35</w:t>
            </w:r>
          </w:p>
        </w:tc>
        <w:tc>
          <w:tcPr>
            <w:tcW w:w="0" w:type="dxa"/>
            <w:vAlign w:val="bottom"/>
          </w:tcPr>
          <w:p>
            <w:pPr>
              <w:spacing w:after="0"/>
              <w:rPr>
                <w:sz w:val="1"/>
                <w:szCs w:val="1"/>
                <w:color w:val="auto"/>
              </w:rPr>
            </w:pPr>
          </w:p>
        </w:tc>
      </w:tr>
      <w:tr>
        <w:trPr>
          <w:trHeight w:val="256"/>
        </w:trPr>
        <w:tc>
          <w:tcPr>
            <w:tcW w:w="6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(241,693)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0" w:type="dxa"/>
            <w:vAlign w:val="bottom"/>
          </w:tcPr>
          <w:p>
            <w:pPr>
              <w:spacing w:after="0"/>
              <w:rPr>
                <w:sz w:val="1"/>
                <w:szCs w:val="1"/>
                <w:color w:val="auto"/>
              </w:rPr>
            </w:pPr>
          </w:p>
        </w:tc>
      </w:tr>
      <w:tr>
        <w:trPr>
          <w:trHeight w:val="275"/>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balance as of September 30, 2026</w:t>
            </w:r>
          </w:p>
        </w:tc>
        <w:tc>
          <w:tcPr>
            <w:tcW w:w="1680" w:type="dxa"/>
            <w:vAlign w:val="bottom"/>
            <w:tcBorders>
              <w:top w:val="single" w:sz="8" w:color="CCEEFF"/>
              <w:bottom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2,864,834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340" w:hanging="250"/>
        <w:spacing w:after="0" w:line="185" w:lineRule="auto"/>
        <w:tabs>
          <w:tab w:leader="none" w:pos="455"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For the nine months ended September 30, 2026, 908,702 shares of Class A Common Stock were issued related to the vesting of RSUs in the period, net of shares withheld for the funding of employee tax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additional data related to RSU activity during the nine months ended September 30, 2026 and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60" w:type="dxa"/>
            <w:vAlign w:val="bottom"/>
            <w:tcBorders>
              <w:bottom w:val="single" w:sz="8" w:color="auto"/>
            </w:tcBorders>
            <w:gridSpan w:val="5"/>
          </w:tcPr>
          <w:p>
            <w:pPr>
              <w:jc w:val="right"/>
              <w:ind w:right="261"/>
              <w:spacing w:after="0"/>
              <w:rPr>
                <w:sz w:val="20"/>
                <w:szCs w:val="20"/>
                <w:color w:val="auto"/>
              </w:rPr>
            </w:pPr>
            <w:r>
              <w:rPr>
                <w:rFonts w:ascii="Times New Roman" w:cs="Times New Roman" w:eastAsia="Times New Roman" w:hAnsi="Times New Roman"/>
                <w:sz w:val="20"/>
                <w:szCs w:val="20"/>
                <w:color w:val="auto"/>
              </w:rPr>
              <w:t>Nine months ended September 30,</w:t>
            </w:r>
          </w:p>
        </w:tc>
      </w:tr>
      <w:tr>
        <w:trPr>
          <w:trHeight w:val="254"/>
        </w:trPr>
        <w:tc>
          <w:tcPr>
            <w:tcW w:w="6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6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640" w:type="dxa"/>
            <w:vAlign w:val="bottom"/>
            <w:tcBorders>
              <w:bottom w:val="single" w:sz="8" w:color="auto"/>
            </w:tcBorders>
          </w:tcPr>
          <w:p>
            <w:pPr>
              <w:spacing w:after="0"/>
              <w:rPr>
                <w:sz w:val="22"/>
                <w:szCs w:val="22"/>
                <w:color w:val="auto"/>
              </w:rPr>
            </w:pPr>
          </w:p>
        </w:tc>
      </w:tr>
      <w:tr>
        <w:trPr>
          <w:trHeight w:val="287"/>
        </w:trPr>
        <w:tc>
          <w:tcPr>
            <w:tcW w:w="6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20" w:type="dxa"/>
            <w:vAlign w:val="bottom"/>
            <w:gridSpan w:val="4"/>
          </w:tcPr>
          <w:p>
            <w:pPr>
              <w:jc w:val="right"/>
              <w:ind w:right="181"/>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640" w:type="dxa"/>
            <w:vAlign w:val="bottom"/>
          </w:tcPr>
          <w:p>
            <w:pPr>
              <w:spacing w:after="0"/>
              <w:rPr>
                <w:sz w:val="24"/>
                <w:szCs w:val="24"/>
                <w:color w:val="auto"/>
              </w:rPr>
            </w:pPr>
          </w:p>
        </w:tc>
      </w:tr>
      <w:tr>
        <w:trPr>
          <w:trHeight w:val="260"/>
        </w:trPr>
        <w:tc>
          <w:tcPr>
            <w:tcW w:w="6120" w:type="dxa"/>
            <w:vAlign w:val="bottom"/>
            <w:shd w:val="clear" w:color="auto" w:fill="CCEEFF"/>
          </w:tcPr>
          <w:p>
            <w:pPr>
              <w:ind w:left="20"/>
              <w:spacing w:after="0" w:line="260" w:lineRule="exact"/>
              <w:rPr>
                <w:sz w:val="20"/>
                <w:szCs w:val="20"/>
                <w:color w:val="auto"/>
              </w:rPr>
            </w:pPr>
            <w:r>
              <w:rPr>
                <w:rFonts w:ascii="Times New Roman" w:cs="Times New Roman" w:eastAsia="Times New Roman" w:hAnsi="Times New Roman"/>
                <w:sz w:val="20"/>
                <w:szCs w:val="20"/>
                <w:color w:val="auto"/>
              </w:rPr>
              <w:t xml:space="preserve">Total fair value of shares vested </w:t>
            </w:r>
            <w:r>
              <w:rPr>
                <w:rFonts w:ascii="Times New Roman" w:cs="Times New Roman" w:eastAsia="Times New Roman" w:hAnsi="Times New Roman"/>
                <w:sz w:val="25"/>
                <w:szCs w:val="25"/>
                <w:color w:val="auto"/>
                <w:vertAlign w:val="superscript"/>
              </w:rPr>
              <w:t>(1)</w:t>
            </w:r>
          </w:p>
        </w:tc>
        <w:tc>
          <w:tcPr>
            <w:tcW w:w="2720" w:type="dxa"/>
            <w:vAlign w:val="bottom"/>
            <w:gridSpan w:val="2"/>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12,575</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11,241</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Unrecognized compensation expense</w:t>
            </w:r>
          </w:p>
        </w:tc>
        <w:tc>
          <w:tcPr>
            <w:tcW w:w="2720" w:type="dxa"/>
            <w:vAlign w:val="bottom"/>
            <w:gridSpan w:val="2"/>
          </w:tcPr>
          <w:p>
            <w:pPr>
              <w:jc w:val="right"/>
              <w:ind w:right="841"/>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20,833</w:t>
            </w:r>
          </w:p>
        </w:tc>
        <w:tc>
          <w:tcPr>
            <w:tcW w:w="80" w:type="dxa"/>
            <w:vAlign w:val="bottom"/>
          </w:tcPr>
          <w:p>
            <w:pPr>
              <w:spacing w:after="0"/>
              <w:rPr>
                <w:sz w:val="22"/>
                <w:szCs w:val="22"/>
                <w:color w:val="auto"/>
              </w:rPr>
            </w:pPr>
          </w:p>
        </w:tc>
        <w:tc>
          <w:tcPr>
            <w:tcW w:w="104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25,934</w:t>
            </w:r>
          </w:p>
        </w:tc>
      </w:tr>
      <w:tr>
        <w:trPr>
          <w:trHeight w:val="25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period awards are expected to be recognized (in years)</w:t>
            </w:r>
          </w:p>
        </w:tc>
        <w:tc>
          <w:tcPr>
            <w:tcW w:w="16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54"/>
        </w:trPr>
        <w:tc>
          <w:tcPr>
            <w:tcW w:w="6120" w:type="dxa"/>
            <w:vAlign w:val="bottom"/>
            <w:tcBorders>
              <w:bottom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bl>
    <w:p>
      <w:pPr>
        <w:spacing w:after="0" w:line="67" w:lineRule="exact"/>
        <w:rPr>
          <w:sz w:val="20"/>
          <w:szCs w:val="20"/>
          <w:color w:val="auto"/>
        </w:rPr>
      </w:pPr>
    </w:p>
    <w:p>
      <w:pPr>
        <w:ind w:left="420" w:right="780" w:hanging="250"/>
        <w:spacing w:after="0" w:line="185" w:lineRule="auto"/>
        <w:tabs>
          <w:tab w:leader="none" w:pos="455"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tax impact related to vested RSUs for the nine months ended September 30, 2026 and 2025 was not material to the Condensed Consolidated Financial Statements.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Restricted Stock Units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Performance Condition PRSUs</w:t>
      </w:r>
    </w:p>
    <w:p>
      <w:pPr>
        <w:spacing w:after="0" w:line="206"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PRSUs granted under the "Performance Condition PRSU Agreement", a form of PRSU agreement under the 2021 Stock Incentive Plan, are eligible to vest subject to the satisfaction of both performance-based and service-based conditions. The performance-based vesting condition</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will be satisfied contingent upon the Company's level of performance over the designated performance period (the "Performance Period") as measured against a financial performance target (the "Performance Target"), each as determined by the Talent, Culture, and Compensation</w:t>
      </w:r>
    </w:p>
    <w:p>
      <w:pPr>
        <w:spacing w:after="0" w:line="222" w:lineRule="auto"/>
        <w:rPr>
          <w:sz w:val="20"/>
          <w:szCs w:val="20"/>
          <w:color w:val="auto"/>
        </w:rPr>
      </w:pPr>
      <w:r>
        <w:rPr>
          <w:rFonts w:ascii="Times New Roman" w:cs="Times New Roman" w:eastAsia="Times New Roman" w:hAnsi="Times New Roman"/>
          <w:sz w:val="19"/>
          <w:szCs w:val="19"/>
          <w:color w:val="auto"/>
        </w:rPr>
        <w:t>Committee (the "Compensation Committee"). Following the end of the Performance Period, the Compensation Committee will determine the</w:t>
      </w:r>
    </w:p>
    <w:p>
      <w:pPr>
        <w:spacing w:after="0" w:line="215" w:lineRule="auto"/>
        <w:rPr>
          <w:sz w:val="20"/>
          <w:szCs w:val="20"/>
          <w:color w:val="auto"/>
        </w:rPr>
      </w:pPr>
      <w:r>
        <w:rPr>
          <w:rFonts w:ascii="Times New Roman" w:cs="Times New Roman" w:eastAsia="Times New Roman" w:hAnsi="Times New Roman"/>
          <w:sz w:val="19"/>
          <w:szCs w:val="19"/>
          <w:color w:val="auto"/>
        </w:rPr>
        <w:t>applicable attained performance level with payout percentages ranging from 35% to 200% (each, a "Payout Percentage") of the target number of PRSUs awarded. In the event of a Change in Control (as defined in the Performance Condition PRSU Agreement) before the end of a</w:t>
      </w:r>
    </w:p>
    <w:p>
      <w:pPr>
        <w:ind w:right="1000"/>
        <w:spacing w:after="0" w:line="228" w:lineRule="auto"/>
        <w:rPr>
          <w:sz w:val="20"/>
          <w:szCs w:val="20"/>
          <w:color w:val="auto"/>
        </w:rPr>
      </w:pPr>
      <w:r>
        <w:rPr>
          <w:rFonts w:ascii="Times New Roman" w:cs="Times New Roman" w:eastAsia="Times New Roman" w:hAnsi="Times New Roman"/>
          <w:sz w:val="20"/>
          <w:szCs w:val="20"/>
          <w:color w:val="auto"/>
        </w:rPr>
        <w:t>scheduled Performance Period, the Compensation Committee retains discretion to end the Performance Period early and measure performance levels as of a revised measurement date.</w:t>
      </w:r>
    </w:p>
    <w:p>
      <w:pPr>
        <w:spacing w:after="0" w:line="176"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20"/>
          <w:szCs w:val="20"/>
          <w:color w:val="auto"/>
        </w:rPr>
        <w:t>If both the service-based and performance-based vesting conditions are satisfied, the PRSU holder will be entitled to receive the number of shares of Class A Common Stock, if any, determined by multiplying the aggregate number of PRSUs subject to the applicable PRSU</w:t>
      </w:r>
    </w:p>
    <w:p>
      <w:pPr>
        <w:spacing w:after="0" w:line="2" w:lineRule="exact"/>
        <w:rPr>
          <w:sz w:val="20"/>
          <w:szCs w:val="20"/>
          <w:color w:val="auto"/>
        </w:rPr>
      </w:pPr>
    </w:p>
    <w:p>
      <w:pPr>
        <w:ind w:right="560"/>
        <w:spacing w:after="0" w:line="221" w:lineRule="auto"/>
        <w:rPr>
          <w:sz w:val="20"/>
          <w:szCs w:val="20"/>
          <w:color w:val="auto"/>
        </w:rPr>
      </w:pPr>
      <w:r>
        <w:rPr>
          <w:rFonts w:ascii="Times New Roman" w:cs="Times New Roman" w:eastAsia="Times New Roman" w:hAnsi="Times New Roman"/>
          <w:sz w:val="20"/>
          <w:szCs w:val="20"/>
          <w:color w:val="auto"/>
        </w:rPr>
        <w:t>Agreement by the applicable Payout Percentage that corresponds to the level of achievement of the Performance Target pursuant to the payout formula approved by the Compensation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amount of compensation expense ultimately recognized for PRSUs issued under the Performance Condition PRSU Agreement is based</w:t>
      </w:r>
    </w:p>
    <w:p>
      <w:pPr>
        <w:ind w:right="40"/>
        <w:spacing w:after="0" w:line="215" w:lineRule="auto"/>
        <w:rPr>
          <w:sz w:val="20"/>
          <w:szCs w:val="20"/>
          <w:color w:val="auto"/>
        </w:rPr>
      </w:pPr>
      <w:r>
        <w:rPr>
          <w:rFonts w:ascii="Times New Roman" w:cs="Times New Roman" w:eastAsia="Times New Roman" w:hAnsi="Times New Roman"/>
          <w:sz w:val="19"/>
          <w:szCs w:val="19"/>
          <w:color w:val="auto"/>
        </w:rPr>
        <w:t>on the Company's ultimate performance relative to the Performance Target. The amount of compensation expense recognized prior to the end of the Performance Period is dependent upon management's assessment of the likelihood of achieving the applicable payout levels. If, as a</w:t>
      </w:r>
    </w:p>
    <w:p>
      <w:pPr>
        <w:ind w:right="640"/>
        <w:spacing w:after="0" w:line="215" w:lineRule="auto"/>
        <w:rPr>
          <w:sz w:val="20"/>
          <w:szCs w:val="20"/>
          <w:color w:val="auto"/>
        </w:rPr>
      </w:pPr>
      <w:r>
        <w:rPr>
          <w:rFonts w:ascii="Times New Roman" w:cs="Times New Roman" w:eastAsia="Times New Roman" w:hAnsi="Times New Roman"/>
          <w:sz w:val="19"/>
          <w:szCs w:val="19"/>
          <w:color w:val="auto"/>
        </w:rPr>
        <w:t>result of management's assessment, it is projected that a greater number of PRSUs will vest than previously anticipated, a life-to-date adjustment to increase compensation expense is recorded in the period when such determination is made. Conversely, if, as a result of</w:t>
      </w:r>
    </w:p>
    <w:p>
      <w:pPr>
        <w:ind w:right="380"/>
        <w:spacing w:after="0" w:line="228" w:lineRule="auto"/>
        <w:rPr>
          <w:sz w:val="20"/>
          <w:szCs w:val="20"/>
          <w:color w:val="auto"/>
        </w:rPr>
      </w:pPr>
      <w:r>
        <w:rPr>
          <w:rFonts w:ascii="Times New Roman" w:cs="Times New Roman" w:eastAsia="Times New Roman" w:hAnsi="Times New Roman"/>
          <w:sz w:val="20"/>
          <w:szCs w:val="20"/>
          <w:color w:val="auto"/>
        </w:rPr>
        <w:t>management's assessment, it is projected that a lower number of PRSUs will vest than previously anticipated, a life-to-date adjustment to decrease compensation expense is recorded in the period when such determination is made.</w:t>
      </w:r>
    </w:p>
    <w:p>
      <w:pPr>
        <w:spacing w:after="0" w:line="17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following table provides a summary of the activity related to PRSUs under the Performance Condition PRSU Agreement during the nine months ended September 30, 2026: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Performance</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6"/>
              </w:rPr>
              <w:t>Weighted Average</w:t>
            </w:r>
          </w:p>
        </w:tc>
      </w:tr>
      <w:tr>
        <w:trPr>
          <w:trHeight w:val="193"/>
        </w:trPr>
        <w:tc>
          <w:tcPr>
            <w:tcW w:w="7800" w:type="dxa"/>
            <w:vAlign w:val="bottom"/>
          </w:tcPr>
          <w:p>
            <w:pPr>
              <w:spacing w:after="0"/>
              <w:rPr>
                <w:sz w:val="16"/>
                <w:szCs w:val="16"/>
                <w:color w:val="auto"/>
              </w:rPr>
            </w:pPr>
          </w:p>
        </w:tc>
        <w:tc>
          <w:tcPr>
            <w:tcW w:w="1760" w:type="dxa"/>
            <w:vAlign w:val="bottom"/>
            <w:gridSpan w:val="2"/>
          </w:tcPr>
          <w:p>
            <w:pPr>
              <w:jc w:val="center"/>
              <w:ind w:right="100"/>
              <w:spacing w:after="0" w:line="193" w:lineRule="exact"/>
              <w:rPr>
                <w:sz w:val="20"/>
                <w:szCs w:val="20"/>
                <w:color w:val="auto"/>
              </w:rPr>
            </w:pPr>
            <w:r>
              <w:rPr>
                <w:rFonts w:ascii="Times New Roman" w:cs="Times New Roman" w:eastAsia="Times New Roman" w:hAnsi="Times New Roman"/>
                <w:sz w:val="20"/>
                <w:szCs w:val="20"/>
                <w:color w:val="auto"/>
                <w:w w:val="98"/>
              </w:rPr>
              <w:t>Restricted Stock</w:t>
            </w:r>
          </w:p>
        </w:tc>
        <w:tc>
          <w:tcPr>
            <w:tcW w:w="160" w:type="dxa"/>
            <w:vAlign w:val="bottom"/>
          </w:tcPr>
          <w:p>
            <w:pPr>
              <w:spacing w:after="0"/>
              <w:rPr>
                <w:sz w:val="16"/>
                <w:szCs w:val="16"/>
                <w:color w:val="auto"/>
              </w:rPr>
            </w:pPr>
          </w:p>
        </w:tc>
        <w:tc>
          <w:tcPr>
            <w:tcW w:w="1520" w:type="dxa"/>
            <w:vAlign w:val="bottom"/>
          </w:tcPr>
          <w:p>
            <w:pPr>
              <w:jc w:val="center"/>
              <w:ind w:right="61"/>
              <w:spacing w:after="0" w:line="193" w:lineRule="exact"/>
              <w:rPr>
                <w:sz w:val="20"/>
                <w:szCs w:val="20"/>
                <w:color w:val="auto"/>
              </w:rPr>
            </w:pPr>
            <w:r>
              <w:rPr>
                <w:rFonts w:ascii="Times New Roman" w:cs="Times New Roman" w:eastAsia="Times New Roman" w:hAnsi="Times New Roman"/>
                <w:sz w:val="20"/>
                <w:szCs w:val="20"/>
                <w:color w:val="auto"/>
                <w:w w:val="98"/>
              </w:rPr>
              <w:t>Grant Date Fair</w:t>
            </w:r>
          </w:p>
        </w:tc>
      </w:tr>
      <w:tr>
        <w:trPr>
          <w:trHeight w:val="262"/>
        </w:trPr>
        <w:tc>
          <w:tcPr>
            <w:tcW w:w="7800" w:type="dxa"/>
            <w:vAlign w:val="bottom"/>
          </w:tcPr>
          <w:p>
            <w:pPr>
              <w:spacing w:after="0"/>
              <w:rPr>
                <w:sz w:val="22"/>
                <w:szCs w:val="22"/>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Units</w:t>
            </w:r>
          </w:p>
        </w:tc>
        <w:tc>
          <w:tcPr>
            <w:tcW w:w="160" w:type="dxa"/>
            <w:vAlign w:val="bottom"/>
          </w:tcPr>
          <w:p>
            <w:pPr>
              <w:spacing w:after="0"/>
              <w:rPr>
                <w:sz w:val="22"/>
                <w:szCs w:val="22"/>
                <w:color w:val="auto"/>
              </w:rPr>
            </w:pPr>
          </w:p>
        </w:tc>
        <w:tc>
          <w:tcPr>
            <w:tcW w:w="152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2"/>
              </w:rPr>
              <w:t>Value</w:t>
            </w:r>
          </w:p>
        </w:tc>
      </w:tr>
      <w:tr>
        <w:trPr>
          <w:trHeight w:val="254"/>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balance as of January 1, 2026</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538,531</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9.20</w:t>
            </w:r>
          </w:p>
        </w:tc>
      </w:tr>
      <w:tr>
        <w:trPr>
          <w:trHeight w:val="256"/>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245,731</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10.53</w:t>
            </w:r>
          </w:p>
        </w:tc>
      </w:tr>
      <w:tr>
        <w:trPr>
          <w:trHeight w:val="27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balance as of September 30,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784,262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auto"/>
        </w:rPr>
        <w:t>As of September 30, 2026, the maximum number of shares of Class A Common Stock that may be issued with respect to PRSUs granted under the Performance Condition PRSU Agreement is 1,568,524, assuming maximum achievement of the Performance Target.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additional data related to Performance Condition PRSU award activity during the nine months ended</w:t>
      </w:r>
    </w:p>
    <w:p>
      <w:pPr>
        <w:spacing w:after="0"/>
        <w:rPr>
          <w:sz w:val="20"/>
          <w:szCs w:val="20"/>
          <w:color w:val="auto"/>
        </w:rPr>
      </w:pPr>
      <w:r>
        <w:rPr>
          <w:rFonts w:ascii="Times New Roman" w:cs="Times New Roman" w:eastAsia="Times New Roman" w:hAnsi="Times New Roman"/>
          <w:sz w:val="20"/>
          <w:szCs w:val="20"/>
          <w:color w:val="auto"/>
        </w:rPr>
        <w:t>September 30,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780" w:type="dxa"/>
            <w:vAlign w:val="bottom"/>
          </w:tcPr>
          <w:p>
            <w:pPr>
              <w:spacing w:after="0"/>
              <w:rPr>
                <w:sz w:val="22"/>
                <w:szCs w:val="22"/>
                <w:color w:val="auto"/>
              </w:rPr>
            </w:pPr>
          </w:p>
        </w:tc>
        <w:tc>
          <w:tcPr>
            <w:tcW w:w="3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9"/>
              </w:rPr>
              <w:t>Nine months ended September 30,</w:t>
            </w:r>
          </w:p>
        </w:tc>
      </w:tr>
      <w:tr>
        <w:trPr>
          <w:trHeight w:val="254"/>
        </w:trPr>
        <w:tc>
          <w:tcPr>
            <w:tcW w:w="7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580" w:type="dxa"/>
            <w:vAlign w:val="bottom"/>
            <w:tcBorders>
              <w:bottom w:val="single" w:sz="8" w:color="auto"/>
            </w:tcBorders>
          </w:tcPr>
          <w:p>
            <w:pPr>
              <w:spacing w:after="0"/>
              <w:rPr>
                <w:sz w:val="22"/>
                <w:szCs w:val="22"/>
                <w:color w:val="auto"/>
              </w:rPr>
            </w:pPr>
          </w:p>
        </w:tc>
      </w:tr>
      <w:tr>
        <w:trPr>
          <w:trHeight w:val="287"/>
        </w:trPr>
        <w:tc>
          <w:tcPr>
            <w:tcW w:w="7780" w:type="dxa"/>
            <w:vAlign w:val="bottom"/>
          </w:tcPr>
          <w:p>
            <w:pPr>
              <w:spacing w:after="0"/>
              <w:rPr>
                <w:sz w:val="24"/>
                <w:szCs w:val="24"/>
                <w:color w:val="auto"/>
              </w:rPr>
            </w:pPr>
          </w:p>
        </w:tc>
        <w:tc>
          <w:tcPr>
            <w:tcW w:w="288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i w:val="1"/>
                <w:iCs w:val="1"/>
                <w:color w:val="auto"/>
                <w:w w:val="99"/>
              </w:rPr>
              <w:t>dollars in thousands</w:t>
            </w:r>
          </w:p>
        </w:tc>
        <w:tc>
          <w:tcPr>
            <w:tcW w:w="580" w:type="dxa"/>
            <w:vAlign w:val="bottom"/>
          </w:tcPr>
          <w:p>
            <w:pPr>
              <w:spacing w:after="0"/>
              <w:rPr>
                <w:sz w:val="24"/>
                <w:szCs w:val="24"/>
                <w:color w:val="auto"/>
              </w:rPr>
            </w:pPr>
          </w:p>
        </w:tc>
      </w:tr>
      <w:tr>
        <w:trPr>
          <w:trHeight w:val="2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Unrecognized compensation expense</w:t>
            </w:r>
          </w:p>
        </w:tc>
        <w:tc>
          <w:tcPr>
            <w:tcW w:w="110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5,101</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5,343</w:t>
            </w:r>
          </w:p>
        </w:tc>
      </w:tr>
      <w:tr>
        <w:trPr>
          <w:trHeight w:val="258"/>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 average period awards are expected to be recognized (in years)</w:t>
            </w:r>
          </w:p>
        </w:tc>
        <w:tc>
          <w:tcPr>
            <w:tcW w:w="1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Condition PRSUs</w:t>
      </w:r>
    </w:p>
    <w:p>
      <w:pPr>
        <w:spacing w:after="0" w:line="220" w:lineRule="exact"/>
        <w:rPr>
          <w:sz w:val="20"/>
          <w:szCs w:val="20"/>
          <w:color w:val="auto"/>
        </w:rPr>
      </w:pPr>
    </w:p>
    <w:p>
      <w:pPr>
        <w:ind w:right="400"/>
        <w:spacing w:after="0" w:line="227" w:lineRule="auto"/>
        <w:rPr>
          <w:sz w:val="20"/>
          <w:szCs w:val="20"/>
          <w:color w:val="auto"/>
        </w:rPr>
      </w:pPr>
      <w:r>
        <w:rPr>
          <w:rFonts w:ascii="Times New Roman" w:cs="Times New Roman" w:eastAsia="Times New Roman" w:hAnsi="Times New Roman"/>
          <w:sz w:val="19"/>
          <w:szCs w:val="19"/>
          <w:color w:val="auto"/>
        </w:rPr>
        <w:t>In April 2022, the Company's CEO was granted 3,707,136 market condition PRSUs, which provide him the opportunity to receive up to 3,707,136 shares of Class A Common Stock. The award had a grant date fair value of approximately $19.2 million, which was estimated</w:t>
      </w:r>
    </w:p>
    <w:p>
      <w:pPr>
        <w:spacing w:after="0" w:line="211" w:lineRule="auto"/>
        <w:rPr>
          <w:sz w:val="20"/>
          <w:szCs w:val="20"/>
          <w:color w:val="auto"/>
        </w:rPr>
      </w:pPr>
      <w:r>
        <w:rPr>
          <w:rFonts w:ascii="Times New Roman" w:cs="Times New Roman" w:eastAsia="Times New Roman" w:hAnsi="Times New Roman"/>
          <w:sz w:val="20"/>
          <w:szCs w:val="20"/>
          <w:color w:val="auto"/>
        </w:rPr>
        <w:t>using a Monte Carlo simulation model. These PRSUs have both market-based and service-based vesting conditions. Shares of Class A</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Common Stock issuable under this award can be earned based on the achievement of the following stock price targets: (i) 25% of the shares can be earned when the stock price of the Class A Common Stock exceeds $20.00 per share for 60 consecutive days; (ii) 25% of the shares</w:t>
      </w:r>
    </w:p>
    <w:p>
      <w:pPr>
        <w:spacing w:after="0" w:line="211" w:lineRule="auto"/>
        <w:rPr>
          <w:sz w:val="20"/>
          <w:szCs w:val="20"/>
          <w:color w:val="auto"/>
        </w:rPr>
      </w:pPr>
      <w:r>
        <w:rPr>
          <w:rFonts w:ascii="Times New Roman" w:cs="Times New Roman" w:eastAsia="Times New Roman" w:hAnsi="Times New Roman"/>
          <w:sz w:val="20"/>
          <w:szCs w:val="20"/>
          <w:color w:val="auto"/>
        </w:rPr>
        <w:t>can be earned when the stock price of the Class A Common Stock exceeds $25.00 per share for 60 consecutive days; and (iii) 50% of the</w:t>
      </w:r>
    </w:p>
    <w:p>
      <w:pPr>
        <w:ind w:right="100"/>
        <w:spacing w:after="0" w:line="215" w:lineRule="auto"/>
        <w:rPr>
          <w:sz w:val="20"/>
          <w:szCs w:val="20"/>
          <w:color w:val="auto"/>
        </w:rPr>
      </w:pPr>
      <w:r>
        <w:rPr>
          <w:rFonts w:ascii="Times New Roman" w:cs="Times New Roman" w:eastAsia="Times New Roman" w:hAnsi="Times New Roman"/>
          <w:sz w:val="19"/>
          <w:szCs w:val="19"/>
          <w:color w:val="auto"/>
        </w:rPr>
        <w:t>shares can be earned when the stock price of the Class A Common Stock exceeds $30.00 per share for 60 consecutive days. These market-based conditions must be met in order for the PRSUs to vest; therefore, it is possible that no shares will ultimately vest. If any of the market-</w:t>
      </w:r>
    </w:p>
    <w:p>
      <w:pPr>
        <w:ind w:right="220"/>
        <w:spacing w:after="0" w:line="242" w:lineRule="auto"/>
        <w:rPr>
          <w:sz w:val="20"/>
          <w:szCs w:val="20"/>
          <w:color w:val="auto"/>
        </w:rPr>
      </w:pPr>
      <w:r>
        <w:rPr>
          <w:rFonts w:ascii="Times New Roman" w:cs="Times New Roman" w:eastAsia="Times New Roman" w:hAnsi="Times New Roman"/>
          <w:sz w:val="19"/>
          <w:szCs w:val="19"/>
          <w:color w:val="auto"/>
        </w:rPr>
        <w:t>based conditions are met, the PRSUs will vest contingent upon continued service through the earlier of three years after achievement of the stock price target or the end of the seven-year performance period. As of September 30, 2026, no market condition PRSUs had vested.</w:t>
      </w:r>
    </w:p>
    <w:p>
      <w:pPr>
        <w:spacing w:after="0" w:line="172"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0"/>
          <w:szCs w:val="20"/>
          <w:color w:val="auto"/>
        </w:rPr>
        <w:t>The Company will recognize the entire $19.2 million of compensation expense for this award over the requisite service period, regardless of whether such market-based conditions are met. As of September 30, 2026, unrecognized compensation expense related to this award was $6.3 million, which the Company expects to recognize over a period of 2.5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assumptions and related information used to determine the grant-date fair value of the market condition</w:t>
      </w:r>
    </w:p>
    <w:p>
      <w:pPr>
        <w:spacing w:after="0"/>
        <w:rPr>
          <w:sz w:val="20"/>
          <w:szCs w:val="20"/>
          <w:color w:val="auto"/>
        </w:rPr>
      </w:pPr>
      <w:r>
        <w:rPr>
          <w:rFonts w:ascii="Times New Roman" w:cs="Times New Roman" w:eastAsia="Times New Roman" w:hAnsi="Times New Roman"/>
          <w:sz w:val="20"/>
          <w:szCs w:val="20"/>
          <w:color w:val="auto"/>
        </w:rPr>
        <w:t>PRSUs awarded in April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Performance</w:t>
            </w:r>
          </w:p>
        </w:tc>
        <w:tc>
          <w:tcPr>
            <w:tcW w:w="0" w:type="dxa"/>
            <w:vAlign w:val="bottom"/>
          </w:tcPr>
          <w:p>
            <w:pPr>
              <w:spacing w:after="0"/>
              <w:rPr>
                <w:sz w:val="1"/>
                <w:szCs w:val="1"/>
                <w:color w:val="auto"/>
              </w:rPr>
            </w:pPr>
          </w:p>
        </w:tc>
      </w:tr>
      <w:tr>
        <w:trPr>
          <w:trHeight w:val="193"/>
        </w:trPr>
        <w:tc>
          <w:tcPr>
            <w:tcW w:w="956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Inputs</w:t>
            </w:r>
          </w:p>
        </w:tc>
        <w:tc>
          <w:tcPr>
            <w:tcW w:w="1680" w:type="dxa"/>
            <w:vAlign w:val="bottom"/>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Restricted Stock</w:t>
            </w:r>
          </w:p>
        </w:tc>
        <w:tc>
          <w:tcPr>
            <w:tcW w:w="0" w:type="dxa"/>
            <w:vAlign w:val="bottom"/>
          </w:tcPr>
          <w:p>
            <w:pPr>
              <w:spacing w:after="0"/>
              <w:rPr>
                <w:sz w:val="1"/>
                <w:szCs w:val="1"/>
                <w:color w:val="auto"/>
              </w:rPr>
            </w:pPr>
          </w:p>
        </w:tc>
      </w:tr>
      <w:tr>
        <w:trPr>
          <w:trHeight w:val="262"/>
        </w:trPr>
        <w:tc>
          <w:tcPr>
            <w:tcW w:w="9560" w:type="dxa"/>
            <w:vAlign w:val="bottom"/>
            <w:gridSpan w:val="2"/>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Units</w:t>
            </w:r>
          </w:p>
        </w:tc>
        <w:tc>
          <w:tcPr>
            <w:tcW w:w="0" w:type="dxa"/>
            <w:vAlign w:val="bottom"/>
          </w:tcPr>
          <w:p>
            <w:pPr>
              <w:spacing w:after="0"/>
              <w:rPr>
                <w:sz w:val="1"/>
                <w:szCs w:val="1"/>
                <w:color w:val="auto"/>
              </w:rPr>
            </w:pPr>
          </w:p>
        </w:tc>
      </w:tr>
      <w:tr>
        <w:trPr>
          <w:trHeight w:val="254"/>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grant-date fair value per share</w:t>
            </w:r>
          </w:p>
        </w:tc>
        <w:tc>
          <w:tcPr>
            <w:tcW w:w="8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$5.19</w:t>
            </w:r>
          </w:p>
        </w:tc>
        <w:tc>
          <w:tcPr>
            <w:tcW w:w="0" w:type="dxa"/>
            <w:vAlign w:val="bottom"/>
          </w:tcPr>
          <w:p>
            <w:pPr>
              <w:spacing w:after="0"/>
              <w:rPr>
                <w:sz w:val="1"/>
                <w:szCs w:val="1"/>
                <w:color w:val="auto"/>
              </w:rPr>
            </w:pPr>
          </w:p>
        </w:tc>
      </w:tr>
      <w:tr>
        <w:trPr>
          <w:trHeight w:val="256"/>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Expected stock volatility</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35%</w:t>
            </w:r>
          </w:p>
        </w:tc>
        <w:tc>
          <w:tcPr>
            <w:tcW w:w="0" w:type="dxa"/>
            <w:vAlign w:val="bottom"/>
          </w:tcPr>
          <w:p>
            <w:pPr>
              <w:spacing w:after="0"/>
              <w:rPr>
                <w:sz w:val="1"/>
                <w:szCs w:val="1"/>
                <w:color w:val="auto"/>
              </w:rPr>
            </w:pPr>
          </w:p>
        </w:tc>
      </w:tr>
      <w:tr>
        <w:trPr>
          <w:trHeight w:val="257"/>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Expected term (in years)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7.0</w:t>
            </w:r>
          </w:p>
        </w:tc>
        <w:tc>
          <w:tcPr>
            <w:tcW w:w="0" w:type="dxa"/>
            <w:vAlign w:val="bottom"/>
          </w:tcPr>
          <w:p>
            <w:pPr>
              <w:spacing w:after="0"/>
              <w:rPr>
                <w:sz w:val="1"/>
                <w:szCs w:val="1"/>
                <w:color w:val="auto"/>
              </w:rPr>
            </w:pPr>
          </w:p>
        </w:tc>
      </w:tr>
      <w:tr>
        <w:trPr>
          <w:trHeight w:val="257"/>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Risk-free interest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2.5%</w:t>
            </w:r>
          </w:p>
        </w:tc>
        <w:tc>
          <w:tcPr>
            <w:tcW w:w="0" w:type="dxa"/>
            <w:vAlign w:val="bottom"/>
          </w:tcPr>
          <w:p>
            <w:pPr>
              <w:spacing w:after="0"/>
              <w:rPr>
                <w:sz w:val="1"/>
                <w:szCs w:val="1"/>
                <w:color w:val="auto"/>
              </w:rPr>
            </w:pPr>
          </w:p>
        </w:tc>
      </w:tr>
      <w:tr>
        <w:trPr>
          <w:trHeight w:val="256"/>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Dividend yield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20" w:lineRule="exact"/>
        <w:rPr>
          <w:sz w:val="20"/>
          <w:szCs w:val="20"/>
          <w:color w:val="auto"/>
        </w:rPr>
      </w:pPr>
    </w:p>
    <w:p>
      <w:pPr>
        <w:ind w:right="460"/>
        <w:spacing w:after="0" w:line="227" w:lineRule="auto"/>
        <w:rPr>
          <w:sz w:val="20"/>
          <w:szCs w:val="20"/>
          <w:color w:val="auto"/>
        </w:rPr>
      </w:pPr>
      <w:r>
        <w:rPr>
          <w:rFonts w:ascii="Times New Roman" w:cs="Times New Roman" w:eastAsia="Times New Roman" w:hAnsi="Times New Roman"/>
          <w:sz w:val="19"/>
          <w:szCs w:val="19"/>
          <w:color w:val="auto"/>
        </w:rPr>
        <w:t>The ESPP allows substantially all of the Company's employees to purchase shares of Class A Common Stock at a discount. As of September 30, 2026, 315,554 shares had been purchased under the ESPP and there were approximately 11.2 million shares available for</w:t>
      </w:r>
    </w:p>
    <w:p>
      <w:pPr>
        <w:spacing w:after="0"/>
        <w:rPr>
          <w:sz w:val="20"/>
          <w:szCs w:val="20"/>
          <w:color w:val="auto"/>
        </w:rPr>
      </w:pPr>
      <w:r>
        <w:rPr>
          <w:rFonts w:ascii="Times New Roman" w:cs="Times New Roman" w:eastAsia="Times New Roman" w:hAnsi="Times New Roman"/>
          <w:sz w:val="20"/>
          <w:szCs w:val="20"/>
          <w:color w:val="auto"/>
        </w:rPr>
        <w:t>future purchases.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 Earnings Per Share</w:t>
      </w:r>
    </w:p>
    <w:p>
      <w:pPr>
        <w:spacing w:after="0" w:line="206"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20"/>
          <w:szCs w:val="20"/>
          <w:color w:val="auto"/>
        </w:rPr>
        <w:t>Basic earnings per share is calculated under the Two-Class Method using basic Net income available to Class A Common Stockholders, divided by the weighted average number of shares of Class A Common Stock outstanding during the period.</w:t>
      </w:r>
    </w:p>
    <w:p>
      <w:pPr>
        <w:spacing w:after="0" w:line="188"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9"/>
          <w:szCs w:val="19"/>
          <w:color w:val="auto"/>
        </w:rPr>
        <w:t>Diluted earnings per share is calculated using diluted Net income available to Class A Common Stockholders divided by the weighted average number of shares of Class A Common Stock outstanding during the period, adjusted to give effect to potentially dilutive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potentially dilutive securities consist of (i) unvested RSUs and shares issuable under the ESPP, with the dilutive effect</w:t>
      </w:r>
    </w:p>
    <w:p>
      <w:pPr>
        <w:ind w:right="20"/>
        <w:spacing w:after="0" w:line="215" w:lineRule="auto"/>
        <w:rPr>
          <w:sz w:val="20"/>
          <w:szCs w:val="20"/>
          <w:color w:val="auto"/>
        </w:rPr>
      </w:pPr>
      <w:r>
        <w:rPr>
          <w:rFonts w:ascii="Times New Roman" w:cs="Times New Roman" w:eastAsia="Times New Roman" w:hAnsi="Times New Roman"/>
          <w:sz w:val="19"/>
          <w:szCs w:val="19"/>
          <w:color w:val="auto"/>
        </w:rPr>
        <w:t>calculated using the Treasury Stock Method; (ii) unvested PRSUs, with the dilutive effect calculated using the Contingently Issuable Method; and (iii) non-controlling interest THG units and Series A Convertible Preferred Stock, with the dilutive effect calculated using the more</w:t>
      </w:r>
    </w:p>
    <w:p>
      <w:pPr>
        <w:spacing w:after="0"/>
        <w:rPr>
          <w:sz w:val="20"/>
          <w:szCs w:val="20"/>
          <w:color w:val="auto"/>
        </w:rPr>
      </w:pPr>
      <w:r>
        <w:rPr>
          <w:rFonts w:ascii="Times New Roman" w:cs="Times New Roman" w:eastAsia="Times New Roman" w:hAnsi="Times New Roman"/>
          <w:sz w:val="20"/>
          <w:szCs w:val="20"/>
          <w:color w:val="auto"/>
        </w:rPr>
        <w:t>dilutive of the If-Converted Method and the Two-Class Method.</w:t>
      </w:r>
    </w:p>
    <w:p>
      <w:pPr>
        <w:spacing w:after="0" w:line="194"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In periods in which the Company reports a net loss attributable to Class A Common Stockholders, diluted net loss per share attributable to Class A Common Stockholders is equal to basic net loss per share because potentially dilutive shares of Class A Common Stock are not</w:t>
      </w:r>
    </w:p>
    <w:p>
      <w:pPr>
        <w:spacing w:after="0"/>
        <w:rPr>
          <w:sz w:val="20"/>
          <w:szCs w:val="20"/>
          <w:color w:val="auto"/>
        </w:rPr>
      </w:pPr>
      <w:r>
        <w:rPr>
          <w:rFonts w:ascii="Times New Roman" w:cs="Times New Roman" w:eastAsia="Times New Roman" w:hAnsi="Times New Roman"/>
          <w:sz w:val="20"/>
          <w:szCs w:val="20"/>
          <w:color w:val="auto"/>
        </w:rPr>
        <w:t>assumed to be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color w:val="auto"/>
        </w:rPr>
        <w:t>The following table summarizes the basic and diluted earnings per share calculations for the three and nine months ended September 30, 2026 and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280" w:type="dxa"/>
            <w:vAlign w:val="bottom"/>
          </w:tcPr>
          <w:p>
            <w:pPr>
              <w:spacing w:after="0"/>
              <w:rPr>
                <w:sz w:val="19"/>
                <w:szCs w:val="19"/>
                <w:color w:val="auto"/>
              </w:rPr>
            </w:pPr>
          </w:p>
        </w:tc>
        <w:tc>
          <w:tcPr>
            <w:tcW w:w="2480" w:type="dxa"/>
            <w:vAlign w:val="bottom"/>
            <w:gridSpan w:val="4"/>
          </w:tcPr>
          <w:p>
            <w:pPr>
              <w:jc w:val="right"/>
              <w:ind w:right="525"/>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8"/>
              </w:rPr>
              <w:t>September 30,</w:t>
            </w:r>
          </w:p>
        </w:tc>
        <w:tc>
          <w:tcPr>
            <w:tcW w:w="280" w:type="dxa"/>
            <w:vAlign w:val="bottom"/>
          </w:tcPr>
          <w:p>
            <w:pPr>
              <w:spacing w:after="0"/>
              <w:rPr>
                <w:sz w:val="21"/>
                <w:szCs w:val="21"/>
                <w:color w:val="auto"/>
              </w:rPr>
            </w:pPr>
          </w:p>
        </w:tc>
        <w:tc>
          <w:tcPr>
            <w:tcW w:w="2480" w:type="dxa"/>
            <w:vAlign w:val="bottom"/>
            <w:gridSpan w:val="4"/>
          </w:tcPr>
          <w:p>
            <w:pPr>
              <w:jc w:val="right"/>
              <w:ind w:right="725"/>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56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71"/>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Basic Earnings per Share</w:t>
            </w:r>
          </w:p>
        </w:tc>
        <w:tc>
          <w:tcPr>
            <w:tcW w:w="280" w:type="dxa"/>
            <w:vAlign w:val="bottom"/>
          </w:tcPr>
          <w:p>
            <w:pPr>
              <w:spacing w:after="0"/>
              <w:rPr>
                <w:sz w:val="23"/>
                <w:szCs w:val="23"/>
                <w:color w:val="auto"/>
              </w:rPr>
            </w:pPr>
          </w:p>
        </w:tc>
        <w:tc>
          <w:tcPr>
            <w:tcW w:w="4260" w:type="dxa"/>
            <w:vAlign w:val="bottom"/>
            <w:gridSpan w:val="9"/>
          </w:tcPr>
          <w:p>
            <w:pPr>
              <w:jc w:val="right"/>
              <w:ind w:right="106"/>
              <w:spacing w:after="0"/>
              <w:rPr>
                <w:sz w:val="20"/>
                <w:szCs w:val="20"/>
                <w:color w:val="auto"/>
              </w:rPr>
            </w:pPr>
            <w:r>
              <w:rPr>
                <w:rFonts w:ascii="Times New Roman" w:cs="Times New Roman" w:eastAsia="Times New Roman" w:hAnsi="Times New Roman"/>
                <w:sz w:val="19"/>
                <w:szCs w:val="19"/>
                <w:i w:val="1"/>
                <w:iCs w:val="1"/>
                <w:color w:val="auto"/>
              </w:rPr>
              <w:t>in thousands (except per share amounts)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Net income available to Class A Common Stockholders</w:t>
            </w:r>
          </w:p>
        </w:tc>
        <w:tc>
          <w:tcPr>
            <w:tcW w:w="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8,385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17,696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32,174</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9"/>
                <w:szCs w:val="19"/>
                <w:color w:val="auto"/>
              </w:rPr>
              <w:t>Weighted average shares of Class A Common Stock outstanding</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106,097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96,167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102,995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92,326</w:t>
            </w:r>
          </w:p>
        </w:tc>
        <w:tc>
          <w:tcPr>
            <w:tcW w:w="0" w:type="dxa"/>
            <w:vAlign w:val="bottom"/>
          </w:tcPr>
          <w:p>
            <w:pPr>
              <w:spacing w:after="0"/>
              <w:rPr>
                <w:sz w:val="1"/>
                <w:szCs w:val="1"/>
                <w:color w:val="auto"/>
              </w:rPr>
            </w:pPr>
          </w:p>
        </w:tc>
      </w:tr>
      <w:tr>
        <w:trPr>
          <w:trHeight w:val="262"/>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Basic earnings per share</w:t>
            </w:r>
          </w:p>
        </w:tc>
        <w:tc>
          <w:tcPr>
            <w:tcW w:w="2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0.08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0.18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0.35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Diluted Earnings per Share</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Net income available to Class A Common Stockholders</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8,513</w:t>
            </w:r>
          </w:p>
        </w:tc>
        <w:tc>
          <w:tcPr>
            <w:tcW w:w="80" w:type="dxa"/>
            <w:vAlign w:val="bottom"/>
          </w:tcPr>
          <w:p>
            <w:pPr>
              <w:spacing w:after="0"/>
              <w:rPr>
                <w:sz w:val="21"/>
                <w:szCs w:val="21"/>
                <w:color w:val="auto"/>
              </w:rPr>
            </w:pP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39,408</w:t>
            </w:r>
          </w:p>
        </w:tc>
        <w:tc>
          <w:tcPr>
            <w:tcW w:w="80" w:type="dxa"/>
            <w:vAlign w:val="bottom"/>
          </w:tcPr>
          <w:p>
            <w:pPr>
              <w:spacing w:after="0"/>
              <w:rPr>
                <w:sz w:val="21"/>
                <w:szCs w:val="21"/>
                <w:color w:val="auto"/>
              </w:rPr>
            </w:pP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w:t>
            </w:r>
          </w:p>
        </w:tc>
        <w:tc>
          <w:tcPr>
            <w:tcW w:w="80" w:type="dxa"/>
            <w:vAlign w:val="bottom"/>
          </w:tcPr>
          <w:p>
            <w:pPr>
              <w:spacing w:after="0"/>
              <w:rPr>
                <w:sz w:val="21"/>
                <w:szCs w:val="21"/>
                <w:color w:val="auto"/>
              </w:rPr>
            </w:pPr>
          </w:p>
        </w:tc>
        <w:tc>
          <w:tcPr>
            <w:tcW w:w="30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100,699</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Weighted average shares of Class A Common Stock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107,800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347,240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102,995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346,672</w:t>
            </w:r>
          </w:p>
        </w:tc>
        <w:tc>
          <w:tcPr>
            <w:tcW w:w="0" w:type="dxa"/>
            <w:vAlign w:val="bottom"/>
          </w:tcPr>
          <w:p>
            <w:pPr>
              <w:spacing w:after="0"/>
              <w:rPr>
                <w:sz w:val="1"/>
                <w:szCs w:val="1"/>
                <w:color w:val="auto"/>
              </w:rPr>
            </w:pPr>
          </w:p>
        </w:tc>
      </w:tr>
      <w:tr>
        <w:trPr>
          <w:trHeight w:val="237"/>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Diluted earnings per share</w:t>
            </w:r>
          </w:p>
        </w:tc>
        <w:tc>
          <w:tcPr>
            <w:tcW w:w="2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0.08</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0.11</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0.00</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0.29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Net income available to Class A Common Stockholders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income</w:t>
            </w:r>
          </w:p>
        </w:tc>
        <w:tc>
          <w:tcPr>
            <w:tcW w:w="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36,269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46,171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31,565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120,666</w:t>
            </w:r>
          </w:p>
        </w:tc>
        <w:tc>
          <w:tcPr>
            <w:tcW w:w="0" w:type="dxa"/>
            <w:vAlign w:val="bottom"/>
          </w:tcPr>
          <w:p>
            <w:pPr>
              <w:spacing w:after="0"/>
              <w:rPr>
                <w:sz w:val="1"/>
                <w:szCs w:val="1"/>
                <w:color w:val="auto"/>
              </w:rPr>
            </w:pPr>
          </w:p>
        </w:tc>
      </w:tr>
      <w:tr>
        <w:trPr>
          <w:trHeight w:val="256"/>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Net income attributable to non-controlling interest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(25,323)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(25,565)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(80,474)</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Accretion of Series A Convertible Preferred Stock</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(5,653)</w:t>
            </w: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9"/>
                <w:szCs w:val="19"/>
                <w:color w:val="auto"/>
              </w:rPr>
              <w:t>Undistributed earnings allocated to Series A Convertible Preferred</w:t>
            </w:r>
          </w:p>
        </w:tc>
        <w:tc>
          <w:tcPr>
            <w:tcW w:w="28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(1,249)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(2,365)</w:t>
            </w:r>
          </w:p>
        </w:tc>
        <w:tc>
          <w:tcPr>
            <w:tcW w:w="0" w:type="dxa"/>
            <w:vAlign w:val="bottom"/>
          </w:tcPr>
          <w:p>
            <w:pPr>
              <w:spacing w:after="0"/>
              <w:rPr>
                <w:sz w:val="1"/>
                <w:szCs w:val="1"/>
                <w:color w:val="auto"/>
              </w:rPr>
            </w:pPr>
          </w:p>
        </w:tc>
      </w:tr>
      <w:tr>
        <w:trPr>
          <w:trHeight w:val="250"/>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Stock</w:t>
            </w:r>
          </w:p>
        </w:tc>
        <w:tc>
          <w:tcPr>
            <w:tcW w:w="2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income available to Class A Common Stockholders, Basic</w:t>
            </w: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8,385</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17,696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32,174</w:t>
            </w: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9"/>
                <w:szCs w:val="19"/>
                <w:color w:val="auto"/>
              </w:rPr>
              <w:t>Undistributed earnings reallocated to Series A Convertible Preferred</w:t>
            </w:r>
          </w:p>
        </w:tc>
        <w:tc>
          <w:tcPr>
            <w:tcW w:w="28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479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394</w:t>
            </w:r>
          </w:p>
        </w:tc>
        <w:tc>
          <w:tcPr>
            <w:tcW w:w="0" w:type="dxa"/>
            <w:vAlign w:val="bottom"/>
          </w:tcPr>
          <w:p>
            <w:pPr>
              <w:spacing w:after="0"/>
              <w:rPr>
                <w:sz w:val="1"/>
                <w:szCs w:val="1"/>
                <w:color w:val="auto"/>
              </w:rPr>
            </w:pPr>
          </w:p>
        </w:tc>
      </w:tr>
      <w:tr>
        <w:trPr>
          <w:trHeight w:val="250"/>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Stock</w:t>
            </w:r>
          </w:p>
        </w:tc>
        <w:tc>
          <w:tcPr>
            <w:tcW w:w="2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Adjustment for potentially dilutive THG units</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21,146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68,059</w:t>
            </w: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9"/>
                <w:szCs w:val="19"/>
                <w:color w:val="auto"/>
              </w:rPr>
              <w:t>Adjustment for potentially dilutive Series A Convertible Preferred</w:t>
            </w:r>
          </w:p>
        </w:tc>
        <w:tc>
          <w:tcPr>
            <w:tcW w:w="28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0"/>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Stock</w:t>
            </w:r>
          </w:p>
        </w:tc>
        <w:tc>
          <w:tcPr>
            <w:tcW w:w="2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Adjustment for potentially dilutive share-based compensation awards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 income available to Class A Common Stockholders, Diluted</w:t>
            </w:r>
          </w:p>
        </w:tc>
        <w:tc>
          <w:tcPr>
            <w:tcW w:w="2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8,513</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39,408</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188</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100,699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Weighted Average Shares of Class A Common Stock Outstanding</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Weighted average shares of Class A Common Stock outstanding, Basic</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106,097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96,167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102,995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92,326</w:t>
            </w:r>
          </w:p>
        </w:tc>
        <w:tc>
          <w:tcPr>
            <w:tcW w:w="0" w:type="dxa"/>
            <w:vAlign w:val="bottom"/>
          </w:tcPr>
          <w:p>
            <w:pPr>
              <w:spacing w:after="0"/>
              <w:rPr>
                <w:sz w:val="1"/>
                <w:szCs w:val="1"/>
                <w:color w:val="auto"/>
              </w:rPr>
            </w:pPr>
          </w:p>
        </w:tc>
      </w:tr>
      <w:tr>
        <w:trPr>
          <w:trHeight w:val="243"/>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Adjustment for potentially dilutive THG units</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249,870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253,363</w:t>
            </w: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9"/>
                <w:szCs w:val="19"/>
                <w:color w:val="auto"/>
              </w:rPr>
              <w:t>Adjustment for potentially dilutive Series A Convertible Preferred</w:t>
            </w:r>
          </w:p>
        </w:tc>
        <w:tc>
          <w:tcPr>
            <w:tcW w:w="2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Stock</w:t>
            </w:r>
          </w:p>
        </w:tc>
        <w:tc>
          <w:tcPr>
            <w:tcW w:w="28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Adjustment for potentially dilutive share-based compensation awards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983</w:t>
            </w:r>
          </w:p>
        </w:tc>
        <w:tc>
          <w:tcPr>
            <w:tcW w:w="0" w:type="dxa"/>
            <w:vAlign w:val="bottom"/>
          </w:tcPr>
          <w:p>
            <w:pPr>
              <w:spacing w:after="0"/>
              <w:rPr>
                <w:sz w:val="1"/>
                <w:szCs w:val="1"/>
                <w:color w:val="auto"/>
              </w:rPr>
            </w:pPr>
          </w:p>
        </w:tc>
      </w:tr>
      <w:tr>
        <w:trPr>
          <w:trHeight w:val="262"/>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Weighted average shares of Class A Common Stock outstanding, Diluted</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107,800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347,240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102,995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346,672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weighted average potential shares of Class A Common Stock excluded from diluted earnings per share</w:t>
      </w:r>
    </w:p>
    <w:p>
      <w:pPr>
        <w:ind w:right="80"/>
        <w:spacing w:after="0" w:line="221" w:lineRule="auto"/>
        <w:rPr>
          <w:sz w:val="20"/>
          <w:szCs w:val="20"/>
          <w:color w:val="auto"/>
        </w:rPr>
      </w:pPr>
      <w:r>
        <w:rPr>
          <w:rFonts w:ascii="Times New Roman" w:cs="Times New Roman" w:eastAsia="Times New Roman" w:hAnsi="Times New Roman"/>
          <w:sz w:val="20"/>
          <w:szCs w:val="20"/>
          <w:color w:val="auto"/>
        </w:rPr>
        <w:t>of Class A Common Stock as their effect would be anti-dilutive or, for certain PRSUs, the performance conditions were not met for the three and nine months ended September 30, 2026 and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3300" w:type="dxa"/>
            <w:vAlign w:val="bottom"/>
            <w:gridSpan w:val="5"/>
          </w:tcPr>
          <w:p>
            <w:pPr>
              <w:jc w:val="center"/>
              <w:ind w:right="56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2280" w:type="dxa"/>
            <w:vAlign w:val="bottom"/>
            <w:gridSpan w:val="3"/>
          </w:tcPr>
          <w:p>
            <w:pPr>
              <w:jc w:val="right"/>
              <w:ind w:right="50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5660" w:type="dxa"/>
            <w:vAlign w:val="bottom"/>
          </w:tcPr>
          <w:p>
            <w:pPr>
              <w:spacing w:after="0"/>
              <w:rPr>
                <w:sz w:val="21"/>
                <w:szCs w:val="21"/>
                <w:color w:val="auto"/>
              </w:rPr>
            </w:pPr>
          </w:p>
        </w:tc>
        <w:tc>
          <w:tcPr>
            <w:tcW w:w="3300" w:type="dxa"/>
            <w:vAlign w:val="bottom"/>
            <w:gridSpan w:val="5"/>
          </w:tcPr>
          <w:p>
            <w:pPr>
              <w:jc w:val="center"/>
              <w:ind w:right="560"/>
              <w:spacing w:after="0"/>
              <w:rPr>
                <w:sz w:val="20"/>
                <w:szCs w:val="20"/>
                <w:color w:val="auto"/>
              </w:rPr>
            </w:pPr>
            <w:r>
              <w:rPr>
                <w:rFonts w:ascii="Times New Roman" w:cs="Times New Roman" w:eastAsia="Times New Roman" w:hAnsi="Times New Roman"/>
                <w:sz w:val="20"/>
                <w:szCs w:val="20"/>
                <w:color w:val="auto"/>
                <w:w w:val="98"/>
              </w:rPr>
              <w:t>September 30,</w:t>
            </w:r>
          </w:p>
        </w:tc>
        <w:tc>
          <w:tcPr>
            <w:tcW w:w="2280" w:type="dxa"/>
            <w:vAlign w:val="bottom"/>
            <w:gridSpan w:val="3"/>
          </w:tcPr>
          <w:p>
            <w:pPr>
              <w:jc w:val="right"/>
              <w:ind w:right="701"/>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566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5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3"/>
          </w:tcPr>
          <w:p>
            <w:pPr>
              <w:ind w:left="88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THG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240,970</w:t>
            </w:r>
          </w:p>
        </w:tc>
        <w:tc>
          <w:tcPr>
            <w:tcW w:w="80" w:type="dxa"/>
            <w:vAlign w:val="bottom"/>
            <w:shd w:val="clear" w:color="auto" w:fill="CCEEFF"/>
          </w:tcPr>
          <w:p>
            <w:pPr>
              <w:spacing w:after="0"/>
              <w:rPr>
                <w:sz w:val="22"/>
                <w:szCs w:val="22"/>
                <w:color w:val="auto"/>
              </w:rPr>
            </w:pP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243,676</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Series A Convertible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6,785</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6,785</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6,785</w:t>
            </w:r>
          </w:p>
        </w:tc>
      </w:tr>
      <w:tr>
        <w:trPr>
          <w:trHeight w:val="25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shares associated with share-based compensation awards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4,196</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4,080</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7,884</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3,941</w:t>
            </w:r>
          </w:p>
        </w:tc>
      </w:tr>
      <w:tr>
        <w:trPr>
          <w:trHeight w:val="250"/>
        </w:trPr>
        <w:tc>
          <w:tcPr>
            <w:tcW w:w="5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251,951</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10,865</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258,345</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10,726</w:t>
            </w:r>
          </w:p>
        </w:tc>
      </w:tr>
      <w:tr>
        <w:trPr>
          <w:trHeight w:val="20"/>
        </w:trPr>
        <w:tc>
          <w:tcPr>
            <w:tcW w:w="5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 Taxation</w:t>
      </w:r>
    </w:p>
    <w:p>
      <w:pPr>
        <w:spacing w:after="0" w:line="206"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0"/>
          <w:szCs w:val="20"/>
          <w:color w:val="auto"/>
        </w:rPr>
        <w:t>The Company's U.S. federal and state income tax expense relates to its wholly owned U.S. corporate subsidiaries, which are separately taxed as corporations for U.S. federal and state income tax purposes, and Hagerty, Inc.'s allocable share of any taxable income from THG. The Company also owns foreign subsidiaries that file and pay income taxes in their local jurisdictions.</w:t>
      </w:r>
    </w:p>
    <w:p>
      <w:pPr>
        <w:spacing w:after="0" w:line="17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THG is treated as a partnership for U.S. federal and most applicable state and local income tax purposes. As a partnership, THG is not subject to U.S. federal and certain state and local taxes. Any taxable income or loss generated by THG is passed through to and included in the taxable income or loss of its partners, including Hagerty, Inc., on a pro-rata basis.</w:t>
      </w:r>
    </w:p>
    <w:p>
      <w:pPr>
        <w:spacing w:after="0" w:line="176"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In addition, Hagerty Re, a Bermuda corporation, made an irrevocable election under Section 953(d) of the Internal Revenue Code ("IRC"), as amended, to be taxed as a U.S. domestic corporation. As a result, Hagerty Re is subject to U.S. taxation on its world-wide income as if it</w:t>
      </w:r>
    </w:p>
    <w:p>
      <w:pPr>
        <w:spacing w:after="0" w:line="2" w:lineRule="exact"/>
        <w:rPr>
          <w:sz w:val="20"/>
          <w:szCs w:val="20"/>
          <w:color w:val="auto"/>
        </w:rPr>
      </w:pPr>
    </w:p>
    <w:p>
      <w:pPr>
        <w:ind w:right="640"/>
        <w:spacing w:after="0" w:line="221" w:lineRule="auto"/>
        <w:rPr>
          <w:sz w:val="20"/>
          <w:szCs w:val="20"/>
          <w:color w:val="auto"/>
        </w:rPr>
      </w:pPr>
      <w:r>
        <w:rPr>
          <w:rFonts w:ascii="Times New Roman" w:cs="Times New Roman" w:eastAsia="Times New Roman" w:hAnsi="Times New Roman"/>
          <w:sz w:val="20"/>
          <w:szCs w:val="20"/>
          <w:color w:val="auto"/>
        </w:rPr>
        <w:t>were a U.S. corporation. In accordance with an agreement between Hagerty Re and the Internal Revenue Service ("IRS"), Hagerty Re established an irrevocable letter of credit with the IRS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Examinations</w:t>
      </w:r>
    </w:p>
    <w:p>
      <w:pPr>
        <w:spacing w:after="0" w:line="22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Company is subject to taxation and files income tax returns in the U.S. federal jurisdiction, as well as many state and foreign jurisdictions. As of September 30, 2026, tax years 2020 to 2025 are subject to examination by various tax authorities. With few exceptions, as</w:t>
      </w:r>
    </w:p>
    <w:p>
      <w:pPr>
        <w:ind w:right="160"/>
        <w:spacing w:after="0" w:line="221" w:lineRule="auto"/>
        <w:rPr>
          <w:sz w:val="20"/>
          <w:szCs w:val="20"/>
          <w:color w:val="auto"/>
        </w:rPr>
      </w:pPr>
      <w:r>
        <w:rPr>
          <w:rFonts w:ascii="Times New Roman" w:cs="Times New Roman" w:eastAsia="Times New Roman" w:hAnsi="Times New Roman"/>
          <w:sz w:val="20"/>
          <w:szCs w:val="20"/>
          <w:color w:val="auto"/>
        </w:rPr>
        <w:t>of September 30, 2026, the Company is no longer subject to U.S. federal, state, local or foreign examinations for years before 2020. THG is currently under audit by the IRS for the 2021 tax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20"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For the nine months ended September 30, 2026, the Company recorded an income tax benefit of $8.9 million, resulting in an effective tax rate of (39.1)%, compared to an income tax benefit of $21.2 million in the prior year, resulting in an effective tax rate of (21.4)%. The</w:t>
      </w:r>
    </w:p>
    <w:p>
      <w:pPr>
        <w:spacing w:after="0" w:line="222" w:lineRule="auto"/>
        <w:rPr>
          <w:sz w:val="20"/>
          <w:szCs w:val="20"/>
          <w:color w:val="auto"/>
        </w:rPr>
      </w:pPr>
      <w:r>
        <w:rPr>
          <w:rFonts w:ascii="Times New Roman" w:cs="Times New Roman" w:eastAsia="Times New Roman" w:hAnsi="Times New Roman"/>
          <w:sz w:val="19"/>
          <w:szCs w:val="19"/>
          <w:color w:val="auto"/>
        </w:rPr>
        <w:t>comparison to the prior year period is significantly influenced by an income tax benefit of $37.3 million recorded in the third quarter of 2025</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to release a portion of the valuation allowance previously recorded against the Company's federal and state deferred tax assets related to the outside basis in its investment in THG and other tax attributes of Hagerty, Inc. The remainder of the change in Income tax (expense) benefit</w:t>
      </w:r>
    </w:p>
    <w:p>
      <w:pPr>
        <w:ind w:right="580"/>
        <w:spacing w:after="0" w:line="242" w:lineRule="auto"/>
        <w:rPr>
          <w:sz w:val="20"/>
          <w:szCs w:val="20"/>
          <w:color w:val="auto"/>
        </w:rPr>
      </w:pPr>
      <w:r>
        <w:rPr>
          <w:rFonts w:ascii="Times New Roman" w:cs="Times New Roman" w:eastAsia="Times New Roman" w:hAnsi="Times New Roman"/>
          <w:sz w:val="19"/>
          <w:szCs w:val="19"/>
          <w:color w:val="auto"/>
        </w:rPr>
        <w:t>is driven by non-reversing temporary differences between taxable income and pre-tax book income related to the Markel Fronting Arrangement, partially offset by higher earnings in Hagerty Re and an increase in Hagerty, Inc.'s allocable share of income from THG.</w:t>
      </w:r>
    </w:p>
    <w:p>
      <w:pPr>
        <w:spacing w:after="0" w:line="17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9"/>
          <w:szCs w:val="19"/>
          <w:color w:val="auto"/>
        </w:rPr>
        <w:t>As of September 30, 2026 and December 31, 2025, total gross unrecognized tax benefits were $0.2 million and $0.1 million, respectively. The Company recognizes interest and penalties related to unrecognized tax benefits within "Income tax (expense) benefit" in the Condensed Consolidated Statements of Operations. As of September 30, 2026, there were no amounts of gross interest and penalties accrued.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 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the consummation of the business combination that formed Hagerty, Inc. in 2021, Hagerty, Inc. entered into a TRA with</w:t>
      </w:r>
    </w:p>
    <w:p>
      <w:pPr>
        <w:ind w:right="420"/>
        <w:spacing w:after="0" w:line="204" w:lineRule="auto"/>
        <w:rPr>
          <w:sz w:val="20"/>
          <w:szCs w:val="20"/>
          <w:color w:val="auto"/>
        </w:rPr>
      </w:pPr>
      <w:r>
        <w:rPr>
          <w:rFonts w:ascii="Times New Roman" w:cs="Times New Roman" w:eastAsia="Times New Roman" w:hAnsi="Times New Roman"/>
          <w:sz w:val="20"/>
          <w:szCs w:val="20"/>
          <w:color w:val="auto"/>
        </w:rPr>
        <w:t>the Legacy Unit Holders. The TRA provides for payment to the Legacy Unit Holders of 85% of the U.S. federal, state and local cash tax savings realized by Hagerty, Inc. as a result of the increases in tax basis and certain other tax benefits, as outlined in the Business</w:t>
      </w:r>
    </w:p>
    <w:p>
      <w:pPr>
        <w:spacing w:after="0" w:line="211" w:lineRule="auto"/>
        <w:rPr>
          <w:sz w:val="20"/>
          <w:szCs w:val="20"/>
          <w:color w:val="auto"/>
        </w:rPr>
      </w:pPr>
      <w:r>
        <w:rPr>
          <w:rFonts w:ascii="Times New Roman" w:cs="Times New Roman" w:eastAsia="Times New Roman" w:hAnsi="Times New Roman"/>
          <w:sz w:val="20"/>
          <w:szCs w:val="20"/>
          <w:color w:val="auto"/>
        </w:rPr>
        <w:t>Combination Agreement, upon the exchange of THG units and shares of Hagerty, Inc. Class V Common Stock for shares of Hagerty, Inc.</w:t>
      </w:r>
    </w:p>
    <w:p>
      <w:pPr>
        <w:spacing w:after="0" w:line="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9"/>
          <w:szCs w:val="19"/>
          <w:color w:val="auto"/>
        </w:rPr>
        <w:t>Class A Common Stock or cash. The remaining 15% cash tax savings resulting from the basis adjustments are retained by Hagerty, Inc. The Business Combination Agreement is provided as Exhibit 2.1, incorporated by reference within Item 6. Exhibits, in this Quarterly Report.</w:t>
      </w:r>
    </w:p>
    <w:p>
      <w:pPr>
        <w:sectPr>
          <w:pgSz w:w="11900" w:h="16838" w:orient="portrait"/>
          <w:cols w:equalWidth="0" w:num="1">
            <w:col w:w="11240"/>
          </w:cols>
          <w:pgMar w:left="320" w:top="238"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the filing of its 2019 income tax return, THG made an election under Section 754 of the IRC for each taxable year in</w:t>
      </w:r>
    </w:p>
    <w:p>
      <w:pPr>
        <w:ind w:right="20"/>
        <w:spacing w:after="0" w:line="215" w:lineRule="auto"/>
        <w:rPr>
          <w:sz w:val="20"/>
          <w:szCs w:val="20"/>
          <w:color w:val="auto"/>
        </w:rPr>
      </w:pPr>
      <w:r>
        <w:rPr>
          <w:rFonts w:ascii="Times New Roman" w:cs="Times New Roman" w:eastAsia="Times New Roman" w:hAnsi="Times New Roman"/>
          <w:sz w:val="19"/>
          <w:szCs w:val="19"/>
          <w:color w:val="auto"/>
        </w:rPr>
        <w:t>which TRA exchanges occur. This election allows THG to adjust the tax basis of its assets when certain ownership changes or distributions occur. This election cannot be revoked without the permission of the IRS Commissioner and will be in place for any future exchange of THG</w:t>
      </w:r>
    </w:p>
    <w:p>
      <w:pPr>
        <w:spacing w:after="0"/>
        <w:rPr>
          <w:sz w:val="20"/>
          <w:szCs w:val="20"/>
          <w:color w:val="auto"/>
        </w:rPr>
      </w:pPr>
      <w:r>
        <w:rPr>
          <w:rFonts w:ascii="Times New Roman" w:cs="Times New Roman" w:eastAsia="Times New Roman" w:hAnsi="Times New Roman"/>
          <w:sz w:val="20"/>
          <w:szCs w:val="20"/>
          <w:color w:val="auto"/>
        </w:rPr>
        <w:t>units.</w:t>
      </w:r>
    </w:p>
    <w:p>
      <w:pPr>
        <w:spacing w:after="0" w:line="19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In general, under the TRA, cash tax savings result in a year when the tax liability of Hagerty, Inc. for the year, computed without regard to the deductions attributable to the amortization of the basis increase and other deductions that arise in connection with the payment of the cash</w:t>
      </w:r>
    </w:p>
    <w:p>
      <w:pPr>
        <w:spacing w:after="0" w:line="211" w:lineRule="auto"/>
        <w:rPr>
          <w:sz w:val="20"/>
          <w:szCs w:val="20"/>
          <w:color w:val="auto"/>
        </w:rPr>
      </w:pPr>
      <w:r>
        <w:rPr>
          <w:rFonts w:ascii="Times New Roman" w:cs="Times New Roman" w:eastAsia="Times New Roman" w:hAnsi="Times New Roman"/>
          <w:sz w:val="20"/>
          <w:szCs w:val="20"/>
          <w:color w:val="auto"/>
        </w:rPr>
        <w:t>consideration under the TRA or the exchange of THG units and shares of Hagerty, Inc. Class V Common Stock for shares of Hagerty, Inc.</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Class A Common Stock, would be more than the tax liability for the year taking into account such deductions. Payments under the TRA are due when the Company produces taxable income and the resulting cash tax liability is reduced by deducting the amortization of the basis</w:t>
      </w:r>
    </w:p>
    <w:p>
      <w:pPr>
        <w:spacing w:after="0"/>
        <w:rPr>
          <w:sz w:val="20"/>
          <w:szCs w:val="20"/>
          <w:color w:val="auto"/>
        </w:rPr>
      </w:pPr>
      <w:r>
        <w:rPr>
          <w:rFonts w:ascii="Times New Roman" w:cs="Times New Roman" w:eastAsia="Times New Roman" w:hAnsi="Times New Roman"/>
          <w:sz w:val="20"/>
          <w:szCs w:val="20"/>
          <w:color w:val="auto"/>
        </w:rPr>
        <w:t>increase on a filed tax return. The payments under the TRA are expected to be substantial.</w:t>
      </w:r>
    </w:p>
    <w:p>
      <w:pPr>
        <w:spacing w:after="0" w:line="194" w:lineRule="exact"/>
        <w:rPr>
          <w:sz w:val="20"/>
          <w:szCs w:val="20"/>
          <w:color w:val="auto"/>
        </w:rPr>
      </w:pPr>
    </w:p>
    <w:p>
      <w:pPr>
        <w:ind w:right="580"/>
        <w:spacing w:after="0" w:line="227" w:lineRule="auto"/>
        <w:rPr>
          <w:sz w:val="20"/>
          <w:szCs w:val="20"/>
          <w:color w:val="auto"/>
        </w:rPr>
      </w:pPr>
      <w:r>
        <w:rPr>
          <w:rFonts w:ascii="Times New Roman" w:cs="Times New Roman" w:eastAsia="Times New Roman" w:hAnsi="Times New Roman"/>
          <w:sz w:val="19"/>
          <w:szCs w:val="19"/>
          <w:color w:val="auto"/>
        </w:rPr>
        <w:t>The amount and timing of any payments under the TRA will vary depending on a number of factors, including, but not limited to, the increase in tax basis of THG's assets, the timing of any future redemptions, exchanges or purchases of THG units held by Legacy Unit</w:t>
      </w:r>
    </w:p>
    <w:p>
      <w:pPr>
        <w:spacing w:after="0" w:line="211" w:lineRule="auto"/>
        <w:rPr>
          <w:sz w:val="20"/>
          <w:szCs w:val="20"/>
          <w:color w:val="auto"/>
        </w:rPr>
      </w:pPr>
      <w:r>
        <w:rPr>
          <w:rFonts w:ascii="Times New Roman" w:cs="Times New Roman" w:eastAsia="Times New Roman" w:hAnsi="Times New Roman"/>
          <w:sz w:val="20"/>
          <w:szCs w:val="20"/>
          <w:color w:val="auto"/>
        </w:rPr>
        <w:t>Holders, the price of Hagerty, Inc. Class A Common Stock at the time of the redemption, exchange or purchase, the extent to which</w:t>
      </w:r>
    </w:p>
    <w:p>
      <w:pPr>
        <w:spacing w:after="0" w:line="1"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20"/>
          <w:szCs w:val="20"/>
          <w:color w:val="auto"/>
        </w:rPr>
        <w:t>redemptions or exchanges are taxable, the amount and timing of the taxable income that Hagerty, Inc. generates in the future, the tax rates then applicable, and the portion of the payments under the TRA constituting imputed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estimation of the TRA Liability is, by its nature, imprecise and subject to significant assumptions regarding the amount and timing of</w:t>
      </w:r>
    </w:p>
    <w:p>
      <w:pPr>
        <w:spacing w:after="0" w:line="215" w:lineRule="auto"/>
        <w:rPr>
          <w:sz w:val="20"/>
          <w:szCs w:val="20"/>
          <w:color w:val="auto"/>
        </w:rPr>
      </w:pPr>
      <w:r>
        <w:rPr>
          <w:rFonts w:ascii="Times New Roman" w:cs="Times New Roman" w:eastAsia="Times New Roman" w:hAnsi="Times New Roman"/>
          <w:sz w:val="19"/>
          <w:szCs w:val="19"/>
          <w:color w:val="auto"/>
        </w:rPr>
        <w:t>Hagerty, Inc.'s future taxable income. If the Company does not generate sufficient taxable income in the aggregate over the term of the TRA to utilize the tax benefits, then it would not be required to make the related payment under the TRA. Therefore, the Company only recognizes</w:t>
      </w:r>
    </w:p>
    <w:p>
      <w:pPr>
        <w:ind w:right="160"/>
        <w:spacing w:after="0" w:line="221" w:lineRule="auto"/>
        <w:rPr>
          <w:sz w:val="20"/>
          <w:szCs w:val="20"/>
          <w:color w:val="auto"/>
        </w:rPr>
      </w:pPr>
      <w:r>
        <w:rPr>
          <w:rFonts w:ascii="Times New Roman" w:cs="Times New Roman" w:eastAsia="Times New Roman" w:hAnsi="Times New Roman"/>
          <w:sz w:val="20"/>
          <w:szCs w:val="20"/>
          <w:color w:val="auto"/>
        </w:rPr>
        <w:t>a liability for the TRA if it determines it is probable that it will generate sufficient future taxable income over the term of the TRA to utilize the related tax benefits. Estimating future taxable income is inherently uncertain and requires significant management judgment.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2026, the estimated value of the TRA Liability was $62.9 million, of which $46.5 million was attributable to HHC</w:t>
      </w:r>
    </w:p>
    <w:p>
      <w:pPr>
        <w:ind w:right="440"/>
        <w:spacing w:after="0" w:line="221" w:lineRule="auto"/>
        <w:rPr>
          <w:sz w:val="20"/>
          <w:szCs w:val="20"/>
          <w:color w:val="auto"/>
        </w:rPr>
      </w:pPr>
      <w:r>
        <w:rPr>
          <w:rFonts w:ascii="Times New Roman" w:cs="Times New Roman" w:eastAsia="Times New Roman" w:hAnsi="Times New Roman"/>
          <w:sz w:val="20"/>
          <w:szCs w:val="20"/>
          <w:color w:val="auto"/>
        </w:rPr>
        <w:t>exchanges of THG units and $16.4 million was attributable to Markel exchanges of THG units. As of December 31, 2025, the estimated value of the TRA Liability was $39.8 million, all of which was attributable to HHC exchanges of THG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nine months ended September 30, 2026, the Company recorded an increase to the TRA Liability of $24.6 million in connection</w:t>
      </w:r>
    </w:p>
    <w:p>
      <w:pPr>
        <w:ind w:right="600"/>
        <w:spacing w:after="0" w:line="221" w:lineRule="auto"/>
        <w:rPr>
          <w:sz w:val="20"/>
          <w:szCs w:val="20"/>
          <w:color w:val="auto"/>
        </w:rPr>
      </w:pPr>
      <w:r>
        <w:rPr>
          <w:rFonts w:ascii="Times New Roman" w:cs="Times New Roman" w:eastAsia="Times New Roman" w:hAnsi="Times New Roman"/>
          <w:sz w:val="20"/>
          <w:szCs w:val="20"/>
          <w:color w:val="auto"/>
        </w:rPr>
        <w:t>with the 2026 THG Unit Exchange, which was recorded as an increase to "Additional paid-in capital" on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nine months ended September 30, 2025, the value of the TRA Liability increased $37.9 million, of which $5.6 million was related</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to the 2025 THG Unit Exchange and recorded as an increase to "Additional paid-in capital" on the Condensed Consolidated Balance Sheets and $32.3 million was related to prior THG unit exchanges and recorded in connection with the release of the valuation allowance within</w:t>
      </w:r>
    </w:p>
    <w:p>
      <w:pPr>
        <w:spacing w:after="0"/>
        <w:rPr>
          <w:sz w:val="20"/>
          <w:szCs w:val="20"/>
          <w:color w:val="auto"/>
        </w:rPr>
      </w:pPr>
      <w:r>
        <w:rPr>
          <w:rFonts w:ascii="Times New Roman" w:cs="Times New Roman" w:eastAsia="Times New Roman" w:hAnsi="Times New Roman"/>
          <w:sz w:val="20"/>
          <w:szCs w:val="20"/>
          <w:color w:val="auto"/>
        </w:rPr>
        <w:t>"Interest expense and other, net" in the Condensed Consolidated Statements of Operations.</w:t>
      </w:r>
    </w:p>
    <w:p>
      <w:pPr>
        <w:spacing w:after="0" w:line="194" w:lineRule="exact"/>
        <w:rPr>
          <w:sz w:val="20"/>
          <w:szCs w:val="20"/>
          <w:color w:val="auto"/>
        </w:rPr>
      </w:pPr>
    </w:p>
    <w:p>
      <w:pPr>
        <w:ind w:right="920"/>
        <w:spacing w:after="0" w:line="233" w:lineRule="auto"/>
        <w:rPr>
          <w:sz w:val="20"/>
          <w:szCs w:val="20"/>
          <w:color w:val="auto"/>
        </w:rPr>
      </w:pPr>
      <w:r>
        <w:rPr>
          <w:rFonts w:ascii="Times New Roman" w:cs="Times New Roman" w:eastAsia="Times New Roman" w:hAnsi="Times New Roman"/>
          <w:sz w:val="20"/>
          <w:szCs w:val="20"/>
          <w:color w:val="auto"/>
        </w:rPr>
        <w:t>During the nine months ended September 30, 2026 and 2025, Hagerty, Inc. made TRA payments of $1.5 million and $0.2 million, respectively, to the Legacy Unit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16 — Stockholders' Equity for additional information about the THG unit exchanges.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 Related-Party Transactions</w:t>
      </w:r>
    </w:p>
    <w:p>
      <w:pPr>
        <w:spacing w:after="0" w:line="220" w:lineRule="exact"/>
        <w:rPr>
          <w:sz w:val="20"/>
          <w:szCs w:val="20"/>
          <w:color w:val="auto"/>
        </w:rPr>
      </w:pPr>
    </w:p>
    <w:p>
      <w:pPr>
        <w:ind w:right="600"/>
        <w:spacing w:after="0" w:line="233" w:lineRule="auto"/>
        <w:rPr>
          <w:sz w:val="20"/>
          <w:szCs w:val="20"/>
          <w:color w:val="auto"/>
        </w:rPr>
      </w:pPr>
      <w:r>
        <w:rPr>
          <w:rFonts w:ascii="Times New Roman" w:cs="Times New Roman" w:eastAsia="Times New Roman" w:hAnsi="Times New Roman"/>
          <w:sz w:val="20"/>
          <w:szCs w:val="20"/>
          <w:color w:val="auto"/>
        </w:rPr>
        <w:t>As of September 30, 2026, Markel and State Farm had the following equity interests in Hagerty and, as a result, are considered related parties: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Markel</w:t>
            </w:r>
          </w:p>
        </w:tc>
        <w:tc>
          <w:tcPr>
            <w:tcW w:w="3700" w:type="dxa"/>
            <w:vAlign w:val="bottom"/>
            <w:gridSpan w:val="3"/>
          </w:tcPr>
          <w:p>
            <w:pPr>
              <w:jc w:val="right"/>
              <w:ind w:right="1321"/>
              <w:spacing w:after="0"/>
              <w:rPr>
                <w:sz w:val="20"/>
                <w:szCs w:val="20"/>
                <w:color w:val="auto"/>
              </w:rPr>
            </w:pPr>
            <w:r>
              <w:rPr>
                <w:rFonts w:ascii="Times New Roman" w:cs="Times New Roman" w:eastAsia="Times New Roman" w:hAnsi="Times New Roman"/>
                <w:sz w:val="20"/>
                <w:szCs w:val="20"/>
                <w:color w:val="auto"/>
              </w:rPr>
              <w:t>State Farm</w:t>
            </w:r>
          </w:p>
        </w:tc>
        <w:tc>
          <w:tcPr>
            <w:tcW w:w="0" w:type="dxa"/>
            <w:vAlign w:val="bottom"/>
          </w:tcPr>
          <w:p>
            <w:pPr>
              <w:spacing w:after="0"/>
              <w:rPr>
                <w:sz w:val="1"/>
                <w:szCs w:val="1"/>
                <w:color w:val="auto"/>
              </w:rPr>
            </w:pPr>
          </w:p>
        </w:tc>
      </w:tr>
      <w:tr>
        <w:trPr>
          <w:trHeight w:val="190"/>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Equity Interest</w:t>
            </w:r>
          </w:p>
        </w:tc>
        <w:tc>
          <w:tcPr>
            <w:tcW w:w="80" w:type="dxa"/>
            <w:vAlign w:val="bottom"/>
          </w:tcPr>
          <w:p>
            <w:pPr>
              <w:spacing w:after="0"/>
              <w:rPr>
                <w:sz w:val="16"/>
                <w:szCs w:val="16"/>
                <w:color w:val="auto"/>
              </w:rPr>
            </w:pPr>
          </w:p>
        </w:tc>
        <w:tc>
          <w:tcPr>
            <w:tcW w:w="1560" w:type="dxa"/>
            <w:vAlign w:val="bottom"/>
            <w:tcBorders>
              <w:top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Shares/Units</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Percentage of total</w:t>
            </w:r>
          </w:p>
        </w:tc>
        <w:tc>
          <w:tcPr>
            <w:tcW w:w="80" w:type="dxa"/>
            <w:vAlign w:val="bottom"/>
          </w:tcPr>
          <w:p>
            <w:pPr>
              <w:spacing w:after="0"/>
              <w:rPr>
                <w:sz w:val="16"/>
                <w:szCs w:val="16"/>
                <w:color w:val="auto"/>
              </w:rPr>
            </w:pPr>
          </w:p>
        </w:tc>
        <w:tc>
          <w:tcPr>
            <w:tcW w:w="172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20"/>
                <w:szCs w:val="20"/>
                <w:color w:val="auto"/>
              </w:rPr>
              <w:t>Shares/Units</w:t>
            </w:r>
          </w:p>
        </w:tc>
        <w:tc>
          <w:tcPr>
            <w:tcW w:w="1980" w:type="dxa"/>
            <w:vAlign w:val="bottom"/>
            <w:tcBorders>
              <w:top w:val="single" w:sz="8" w:color="auto"/>
            </w:tcBorders>
          </w:tcPr>
          <w:p>
            <w:pPr>
              <w:jc w:val="right"/>
              <w:ind w:right="161"/>
              <w:spacing w:after="0" w:line="190" w:lineRule="exact"/>
              <w:rPr>
                <w:sz w:val="20"/>
                <w:szCs w:val="20"/>
                <w:color w:val="auto"/>
              </w:rPr>
            </w:pPr>
            <w:r>
              <w:rPr>
                <w:rFonts w:ascii="Times New Roman" w:cs="Times New Roman" w:eastAsia="Times New Roman" w:hAnsi="Times New Roman"/>
                <w:sz w:val="20"/>
                <w:szCs w:val="20"/>
                <w:color w:val="auto"/>
              </w:rPr>
              <w:t>Percentage of total</w:t>
            </w:r>
          </w:p>
        </w:tc>
        <w:tc>
          <w:tcPr>
            <w:tcW w:w="0" w:type="dxa"/>
            <w:vAlign w:val="bottom"/>
          </w:tcPr>
          <w:p>
            <w:pPr>
              <w:spacing w:after="0"/>
              <w:rPr>
                <w:sz w:val="1"/>
                <w:szCs w:val="1"/>
                <w:color w:val="auto"/>
              </w:rPr>
            </w:pPr>
          </w:p>
        </w:tc>
      </w:tr>
      <w:tr>
        <w:trPr>
          <w:trHeight w:val="252"/>
        </w:trPr>
        <w:tc>
          <w:tcPr>
            <w:tcW w:w="3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2"/>
          </w:tcPr>
          <w:p>
            <w:pPr>
              <w:jc w:val="center"/>
              <w:ind w:right="100"/>
              <w:spacing w:after="0" w:line="252" w:lineRule="exact"/>
              <w:rPr>
                <w:sz w:val="20"/>
                <w:szCs w:val="20"/>
                <w:color w:val="auto"/>
              </w:rPr>
            </w:pPr>
            <w:r>
              <w:rPr>
                <w:rFonts w:ascii="Times New Roman" w:cs="Times New Roman" w:eastAsia="Times New Roman" w:hAnsi="Times New Roman"/>
                <w:sz w:val="20"/>
                <w:szCs w:val="20"/>
                <w:color w:val="auto"/>
                <w:w w:val="95"/>
              </w:rPr>
              <w:t xml:space="preserve">outstanding </w:t>
            </w:r>
            <w:r>
              <w:rPr>
                <w:rFonts w:ascii="Times New Roman" w:cs="Times New Roman" w:eastAsia="Times New Roman" w:hAnsi="Times New Roman"/>
                <w:sz w:val="25"/>
                <w:szCs w:val="25"/>
                <w:color w:val="auto"/>
                <w:w w:val="95"/>
                <w:vertAlign w:val="superscript"/>
              </w:rPr>
              <w:t>(1)</w:t>
            </w:r>
          </w:p>
        </w:tc>
        <w:tc>
          <w:tcPr>
            <w:tcW w:w="1720" w:type="dxa"/>
            <w:vAlign w:val="bottom"/>
            <w:gridSpan w:val="2"/>
            <w:vMerge w:val="continue"/>
          </w:tcPr>
          <w:p>
            <w:pPr>
              <w:spacing w:after="0"/>
              <w:rPr>
                <w:sz w:val="21"/>
                <w:szCs w:val="21"/>
                <w:color w:val="auto"/>
              </w:rPr>
            </w:pPr>
          </w:p>
        </w:tc>
        <w:tc>
          <w:tcPr>
            <w:tcW w:w="1980" w:type="dxa"/>
            <w:vAlign w:val="bottom"/>
          </w:tcPr>
          <w:p>
            <w:pPr>
              <w:jc w:val="right"/>
              <w:ind w:right="341"/>
              <w:spacing w:after="0" w:line="252" w:lineRule="exact"/>
              <w:rPr>
                <w:sz w:val="20"/>
                <w:szCs w:val="20"/>
                <w:color w:val="auto"/>
              </w:rPr>
            </w:pPr>
            <w:r>
              <w:rPr>
                <w:rFonts w:ascii="Times New Roman" w:cs="Times New Roman" w:eastAsia="Times New Roman" w:hAnsi="Times New Roman"/>
                <w:sz w:val="20"/>
                <w:szCs w:val="20"/>
                <w:color w:val="auto"/>
              </w:rPr>
              <w:t xml:space="preserve">outstanding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50"/>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Hagerty, Inc. Class A Common Stock</w:t>
            </w:r>
          </w:p>
        </w:tc>
        <w:tc>
          <w:tcPr>
            <w:tcW w:w="8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10,944,411</w:t>
            </w: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9.1 %</w:t>
            </w:r>
          </w:p>
        </w:tc>
        <w:tc>
          <w:tcPr>
            <w:tcW w:w="8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51,800,000</w:t>
            </w:r>
          </w:p>
        </w:tc>
        <w:tc>
          <w:tcPr>
            <w:tcW w:w="80" w:type="dxa"/>
            <w:vAlign w:val="bottom"/>
            <w:tcBorders>
              <w:top w:val="single" w:sz="8" w:color="CCEEFF"/>
            </w:tcBorders>
            <w:shd w:val="clear" w:color="auto" w:fill="CCEEFF"/>
          </w:tcPr>
          <w:p>
            <w:pPr>
              <w:spacing w:after="0"/>
              <w:rPr>
                <w:sz w:val="21"/>
                <w:szCs w:val="21"/>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43.0 %</w:t>
            </w:r>
          </w:p>
        </w:tc>
        <w:tc>
          <w:tcPr>
            <w:tcW w:w="0" w:type="dxa"/>
            <w:vAlign w:val="bottom"/>
          </w:tcPr>
          <w:p>
            <w:pPr>
              <w:spacing w:after="0"/>
              <w:rPr>
                <w:sz w:val="1"/>
                <w:szCs w:val="1"/>
                <w:color w:val="auto"/>
              </w:rPr>
            </w:pPr>
          </w:p>
        </w:tc>
      </w:tr>
      <w:tr>
        <w:trPr>
          <w:trHeight w:val="256"/>
        </w:trPr>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Hagerty, Inc. Class V Common Stock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67,163,589</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30.1 %</w:t>
            </w:r>
          </w:p>
        </w:tc>
        <w:tc>
          <w:tcPr>
            <w:tcW w:w="8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Hagerty, Inc. Series A Convertible Preferred</w:t>
            </w: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1,590,668</w:t>
            </w:r>
          </w:p>
        </w:tc>
        <w:tc>
          <w:tcPr>
            <w:tcW w:w="21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18.8 %</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5,302,226</w:t>
            </w:r>
          </w:p>
        </w:tc>
        <w:tc>
          <w:tcPr>
            <w:tcW w:w="80" w:type="dxa"/>
            <w:vAlign w:val="bottom"/>
            <w:shd w:val="clear" w:color="auto" w:fill="CCEEFF"/>
          </w:tcPr>
          <w:p>
            <w:pPr>
              <w:spacing w:after="0"/>
              <w:rPr>
                <w:sz w:val="16"/>
                <w:szCs w:val="16"/>
                <w:color w:val="auto"/>
              </w:rPr>
            </w:pP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62.5 %</w:t>
            </w:r>
          </w:p>
        </w:tc>
        <w:tc>
          <w:tcPr>
            <w:tcW w:w="0" w:type="dxa"/>
            <w:vAlign w:val="bottom"/>
          </w:tcPr>
          <w:p>
            <w:pPr>
              <w:spacing w:after="0"/>
              <w:rPr>
                <w:sz w:val="1"/>
                <w:szCs w:val="1"/>
                <w:color w:val="auto"/>
              </w:rPr>
            </w:pPr>
          </w:p>
        </w:tc>
      </w:tr>
      <w:tr>
        <w:trPr>
          <w:trHeight w:val="25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Stock</w:t>
            </w:r>
          </w:p>
        </w:tc>
        <w:tc>
          <w:tcPr>
            <w:tcW w:w="1640" w:type="dxa"/>
            <w:vAlign w:val="bottom"/>
            <w:gridSpan w:val="2"/>
            <w:vMerge w:val="continue"/>
            <w:shd w:val="clear" w:color="auto" w:fill="CCEEFF"/>
          </w:tcPr>
          <w:p>
            <w:pPr>
              <w:spacing w:after="0"/>
              <w:rPr>
                <w:sz w:val="21"/>
                <w:szCs w:val="21"/>
                <w:color w:val="auto"/>
              </w:rPr>
            </w:pPr>
          </w:p>
        </w:tc>
        <w:tc>
          <w:tcPr>
            <w:tcW w:w="214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THG 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67,163,589</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19.4 %</w:t>
            </w:r>
          </w:p>
        </w:tc>
        <w:tc>
          <w:tcPr>
            <w:tcW w:w="8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Controlling interest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10,944,411</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9.1 %</w:t>
            </w:r>
          </w:p>
        </w:tc>
        <w:tc>
          <w:tcPr>
            <w:tcW w:w="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51,800,000</w:t>
            </w:r>
          </w:p>
        </w:tc>
        <w:tc>
          <w:tcPr>
            <w:tcW w:w="8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43.0 %</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Non-controlling interest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67,163,589</w:t>
            </w:r>
          </w:p>
        </w:tc>
        <w:tc>
          <w:tcPr>
            <w:tcW w:w="2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29.7 %</w:t>
            </w:r>
          </w:p>
        </w:tc>
        <w:tc>
          <w:tcPr>
            <w:tcW w:w="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54"/>
        </w:trPr>
        <w:tc>
          <w:tcPr>
            <w:tcW w:w="3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20" w:right="540" w:hanging="250"/>
        <w:spacing w:after="0" w:line="185" w:lineRule="auto"/>
        <w:tabs>
          <w:tab w:leader="none" w:pos="455" w:val="left"/>
        </w:tabs>
        <w:numPr>
          <w:ilvl w:val="0"/>
          <w:numId w:val="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percentages reflected represent only the ownership of the specific security identified in each row and are not reflective of the total economic ownership in Hagerty.</w:t>
      </w:r>
    </w:p>
    <w:p>
      <w:pPr>
        <w:spacing w:after="0" w:line="186"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color w:val="auto"/>
        </w:rPr>
        <w:t>Refer to Note 16 — Stockholders' Equity and Note 15 — Convertible Preferred Stock for additional information and a description of each equity interest in the table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party to a master relationship agreement and associated agency and claims services agreements with Markel. Under these</w:t>
      </w:r>
    </w:p>
    <w:p>
      <w:pPr>
        <w:ind w:right="620"/>
        <w:spacing w:after="0" w:line="221" w:lineRule="auto"/>
        <w:rPr>
          <w:sz w:val="20"/>
          <w:szCs w:val="20"/>
          <w:color w:val="auto"/>
        </w:rPr>
      </w:pPr>
      <w:r>
        <w:rPr>
          <w:rFonts w:ascii="Times New Roman" w:cs="Times New Roman" w:eastAsia="Times New Roman" w:hAnsi="Times New Roman"/>
          <w:sz w:val="20"/>
          <w:szCs w:val="20"/>
          <w:color w:val="auto"/>
        </w:rPr>
        <w:t>agreements, the Company's U.S. MGA subsidiary is licensed and authorized to underwrite, sell, and service insurance policies written through Essentia, which serves as the dedicated carrier for Hagerty's specialty collector vehicle insurance policies in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Effective January 1, 2026, the Company and Markel became parties to the Markel Fronting Arrangement and the LPT Agreement, which are</w:t>
      </w:r>
    </w:p>
    <w:p>
      <w:pPr>
        <w:spacing w:after="0" w:line="6" w:lineRule="exact"/>
        <w:rPr>
          <w:sz w:val="20"/>
          <w:szCs w:val="20"/>
          <w:color w:val="auto"/>
        </w:rPr>
      </w:pPr>
    </w:p>
    <w:p>
      <w:pPr>
        <w:ind w:right="500"/>
        <w:spacing w:after="0" w:line="221" w:lineRule="auto"/>
        <w:rPr>
          <w:sz w:val="20"/>
          <w:szCs w:val="20"/>
          <w:color w:val="auto"/>
        </w:rPr>
      </w:pPr>
      <w:r>
        <w:rPr>
          <w:rFonts w:ascii="Times New Roman" w:cs="Times New Roman" w:eastAsia="Times New Roman" w:hAnsi="Times New Roman"/>
          <w:sz w:val="20"/>
          <w:szCs w:val="20"/>
          <w:color w:val="auto"/>
        </w:rPr>
        <w:t>described in Note 3 — Markel Fronting Arrangement. Amounts due to or from Markel subsidiaries arising from these arrangements are settled on a net basis in accordance with the contractual terms of the underlying agreements.</w:t>
      </w:r>
    </w:p>
    <w:p>
      <w:pPr>
        <w:spacing w:after="0" w:line="189" w:lineRule="exact"/>
        <w:rPr>
          <w:sz w:val="20"/>
          <w:szCs w:val="20"/>
          <w:color w:val="auto"/>
        </w:rPr>
      </w:pPr>
    </w:p>
    <w:p>
      <w:pPr>
        <w:ind w:right="800"/>
        <w:spacing w:after="0"/>
        <w:rPr>
          <w:sz w:val="20"/>
          <w:szCs w:val="20"/>
          <w:color w:val="auto"/>
        </w:rPr>
      </w:pPr>
      <w:r>
        <w:rPr>
          <w:rFonts w:ascii="Times New Roman" w:cs="Times New Roman" w:eastAsia="Times New Roman" w:hAnsi="Times New Roman"/>
          <w:sz w:val="20"/>
          <w:szCs w:val="20"/>
          <w:color w:val="auto"/>
        </w:rPr>
        <w:t>Markel, together with HHC, is a Legacy Unit Holder and party to the TRA. Refer to Note 19 — Taxation for additional information regarding the TRA, including the TRA Liability attributable to Markel.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all balances related to the Company's business with Markel subsidiaries: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7"/>
              </w:rPr>
              <w:t>Three months ended</w:t>
            </w:r>
          </w:p>
        </w:tc>
        <w:tc>
          <w:tcPr>
            <w:tcW w:w="480" w:type="dxa"/>
            <w:vAlign w:val="bottom"/>
          </w:tcPr>
          <w:p>
            <w:pPr>
              <w:spacing w:after="0"/>
              <w:rPr>
                <w:sz w:val="19"/>
                <w:szCs w:val="19"/>
                <w:color w:val="auto"/>
              </w:rPr>
            </w:pPr>
          </w:p>
        </w:tc>
        <w:tc>
          <w:tcPr>
            <w:tcW w:w="230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2"/>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rPr>
              <w:t>September 30,</w:t>
            </w:r>
          </w:p>
        </w:tc>
        <w:tc>
          <w:tcPr>
            <w:tcW w:w="480" w:type="dxa"/>
            <w:vAlign w:val="bottom"/>
          </w:tcPr>
          <w:p>
            <w:pPr>
              <w:spacing w:after="0"/>
              <w:rPr>
                <w:sz w:val="21"/>
                <w:szCs w:val="21"/>
                <w:color w:val="auto"/>
              </w:rPr>
            </w:pPr>
          </w:p>
        </w:tc>
        <w:tc>
          <w:tcPr>
            <w:tcW w:w="230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87"/>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Revenue: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277,440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191,315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783,230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549,289</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122,386</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343,813</w:t>
            </w: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279,089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313,701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788,402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893,102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86,698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78,194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283,931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232,703</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47,561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88,998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222,987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253,333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4,376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6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expenses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135,893</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167,192</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511,294</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486,036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Pr>
          <w:p>
            <w:pPr>
              <w:spacing w:after="0"/>
              <w:rPr>
                <w:sz w:val="22"/>
                <w:szCs w:val="22"/>
                <w:color w:val="auto"/>
              </w:rPr>
            </w:pP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September 30,</w:t>
            </w:r>
          </w:p>
        </w:tc>
        <w:tc>
          <w:tcPr>
            <w:tcW w:w="200" w:type="dxa"/>
            <w:vAlign w:val="bottom"/>
          </w:tcPr>
          <w:p>
            <w:pPr>
              <w:spacing w:after="0"/>
              <w:rPr>
                <w:sz w:val="22"/>
                <w:szCs w:val="22"/>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62"/>
        </w:trPr>
        <w:tc>
          <w:tcPr>
            <w:tcW w:w="7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90"/>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1100" w:type="dxa"/>
            <w:vAlign w:val="bottom"/>
          </w:tcPr>
          <w:p>
            <w:pPr>
              <w:spacing w:after="0"/>
              <w:rPr>
                <w:sz w:val="24"/>
                <w:szCs w:val="24"/>
                <w:color w:val="auto"/>
              </w:rPr>
            </w:pPr>
          </w:p>
        </w:tc>
        <w:tc>
          <w:tcPr>
            <w:tcW w:w="2360" w:type="dxa"/>
            <w:vAlign w:val="bottom"/>
            <w:gridSpan w:val="4"/>
          </w:tcPr>
          <w:p>
            <w:pPr>
              <w:jc w:val="right"/>
              <w:ind w:right="1121"/>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0" w:type="dxa"/>
            <w:vAlign w:val="bottom"/>
          </w:tcPr>
          <w:p>
            <w:pPr>
              <w:spacing w:after="0"/>
              <w:rPr>
                <w:sz w:val="1"/>
                <w:szCs w:val="1"/>
                <w:color w:val="auto"/>
              </w:rPr>
            </w:pPr>
          </w:p>
        </w:tc>
      </w:tr>
      <w:tr>
        <w:trPr>
          <w:trHeight w:val="26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Accounts receivable</w:t>
            </w:r>
          </w:p>
        </w:tc>
        <w:tc>
          <w:tcPr>
            <w:tcW w:w="110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1,321</w:t>
            </w:r>
          </w:p>
        </w:tc>
        <w:tc>
          <w:tcPr>
            <w:tcW w:w="0" w:type="dxa"/>
            <w:vAlign w:val="bottom"/>
          </w:tcPr>
          <w:p>
            <w:pPr>
              <w:spacing w:after="0"/>
              <w:rPr>
                <w:sz w:val="1"/>
                <w:szCs w:val="1"/>
                <w:color w:val="auto"/>
              </w:rPr>
            </w:pPr>
          </w:p>
        </w:tc>
      </w:tr>
      <w:tr>
        <w:trPr>
          <w:trHeight w:val="257"/>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Premiums receivable</w:t>
            </w:r>
          </w:p>
        </w:tc>
        <w:tc>
          <w:tcPr>
            <w:tcW w:w="1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174,169</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Reinsurance recoverables</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1,576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1,958</w:t>
            </w: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Other assets</w:t>
            </w:r>
          </w:p>
        </w:tc>
        <w:tc>
          <w:tcPr>
            <w:tcW w:w="1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3,780</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assets</w:t>
            </w:r>
          </w:p>
        </w:tc>
        <w:tc>
          <w:tcPr>
            <w:tcW w:w="110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6,704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177,448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Liabilities: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10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Losses payable and reserves for unpaid losses and loss adjustment expenses</w:t>
            </w:r>
          </w:p>
        </w:tc>
        <w:tc>
          <w:tcPr>
            <w:tcW w:w="1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247,758</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Due to insurers</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4,514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88,888</w:t>
            </w:r>
          </w:p>
        </w:tc>
        <w:tc>
          <w:tcPr>
            <w:tcW w:w="0" w:type="dxa"/>
            <w:vAlign w:val="bottom"/>
          </w:tcPr>
          <w:p>
            <w:pPr>
              <w:spacing w:after="0"/>
              <w:rPr>
                <w:sz w:val="1"/>
                <w:szCs w:val="1"/>
                <w:color w:val="auto"/>
              </w:rPr>
            </w:pPr>
          </w:p>
        </w:tc>
      </w:tr>
      <w:tr>
        <w:trPr>
          <w:trHeight w:val="257"/>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Ceding commissions payable</w:t>
            </w:r>
          </w:p>
        </w:tc>
        <w:tc>
          <w:tcPr>
            <w:tcW w:w="1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83,494</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liabilities</w:t>
            </w: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2,470</w:t>
            </w:r>
          </w:p>
        </w:tc>
        <w:tc>
          <w:tcPr>
            <w:tcW w:w="0" w:type="dxa"/>
            <w:vAlign w:val="bottom"/>
          </w:tcPr>
          <w:p>
            <w:pPr>
              <w:spacing w:after="0"/>
              <w:rPr>
                <w:sz w:val="1"/>
                <w:szCs w:val="1"/>
                <w:color w:val="auto"/>
              </w:rPr>
            </w:pPr>
          </w:p>
        </w:tc>
      </w:tr>
      <w:tr>
        <w:trPr>
          <w:trHeight w:val="250"/>
        </w:trPr>
        <w:tc>
          <w:tcPr>
            <w:tcW w:w="7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liabilities</w:t>
            </w:r>
          </w:p>
        </w:tc>
        <w:tc>
          <w:tcPr>
            <w:tcW w:w="110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8,361</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422,610</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Pursuant to the terms of the Markel Fronting Arrangement, Hagerty Re maintains assets in trust for the benefit of Essentia. These assets are included within "Restricted cash and cash equivalents", "Fixed maturity securities" and "Equity securities, at fair value" on the Condensed</w:t>
      </w:r>
    </w:p>
    <w:p>
      <w:pPr>
        <w:ind w:right="1140"/>
        <w:spacing w:after="0" w:line="228" w:lineRule="auto"/>
        <w:rPr>
          <w:sz w:val="20"/>
          <w:szCs w:val="20"/>
          <w:color w:val="auto"/>
        </w:rPr>
      </w:pPr>
      <w:r>
        <w:rPr>
          <w:rFonts w:ascii="Times New Roman" w:cs="Times New Roman" w:eastAsia="Times New Roman" w:hAnsi="Times New Roman"/>
          <w:sz w:val="20"/>
          <w:szCs w:val="20"/>
          <w:color w:val="auto"/>
        </w:rPr>
        <w:t>Consolidated Balance Sheets. The assets held in trust for the benefit of Essentia totaled $471.9 million and $680.4 million as of September 30,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State Farm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Alliance Agreement</w:t>
      </w:r>
    </w:p>
    <w:p>
      <w:pPr>
        <w:spacing w:after="0" w:line="22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Hagerty has a 10-year master alliance agreement and associated managing general underwriter agreement with State Farm, under which State Farm Classic+ policies are offered to State Farm's customers through State Farm agents. This program began issuing policies in September</w:t>
      </w:r>
    </w:p>
    <w:p>
      <w:pPr>
        <w:spacing w:after="0" w:line="211" w:lineRule="auto"/>
        <w:rPr>
          <w:sz w:val="20"/>
          <w:szCs w:val="20"/>
          <w:color w:val="auto"/>
        </w:rPr>
      </w:pPr>
      <w:r>
        <w:rPr>
          <w:rFonts w:ascii="Times New Roman" w:cs="Times New Roman" w:eastAsia="Times New Roman" w:hAnsi="Times New Roman"/>
          <w:sz w:val="20"/>
          <w:szCs w:val="20"/>
          <w:color w:val="auto"/>
        </w:rPr>
        <w:t>2023. As of September 30, 2026, State Farm Classic+ policies were being offered in 40 states, with conversions of their existing book of</w:t>
      </w:r>
    </w:p>
    <w:p>
      <w:pPr>
        <w:spacing w:after="0" w:line="1" w:lineRule="exact"/>
        <w:rPr>
          <w:sz w:val="20"/>
          <w:szCs w:val="20"/>
          <w:color w:val="auto"/>
        </w:rPr>
      </w:pPr>
    </w:p>
    <w:p>
      <w:pPr>
        <w:ind w:right="420"/>
        <w:spacing w:after="0" w:line="215" w:lineRule="auto"/>
        <w:rPr>
          <w:sz w:val="20"/>
          <w:szCs w:val="20"/>
          <w:color w:val="auto"/>
        </w:rPr>
      </w:pPr>
      <w:r>
        <w:rPr>
          <w:rFonts w:ascii="Times New Roman" w:cs="Times New Roman" w:eastAsia="Times New Roman" w:hAnsi="Times New Roman"/>
          <w:sz w:val="19"/>
          <w:szCs w:val="19"/>
          <w:color w:val="auto"/>
        </w:rPr>
        <w:t>business occurring in 26 of these states and plans to offer such policies in additional states in the remainder of 2026 and 2027. Under the master alliance agreement, State Farm paid Hagerty an advanced commission of $20.0 million in 2020, which is being recognized as</w:t>
      </w:r>
    </w:p>
    <w:p>
      <w:pPr>
        <w:spacing w:after="0" w:line="211" w:lineRule="auto"/>
        <w:rPr>
          <w:sz w:val="20"/>
          <w:szCs w:val="20"/>
          <w:color w:val="auto"/>
        </w:rPr>
      </w:pPr>
      <w:r>
        <w:rPr>
          <w:rFonts w:ascii="Times New Roman" w:cs="Times New Roman" w:eastAsia="Times New Roman" w:hAnsi="Times New Roman"/>
          <w:sz w:val="20"/>
          <w:szCs w:val="20"/>
          <w:color w:val="auto"/>
        </w:rPr>
        <w:t>"Commission and fee revenue" over the remaining life of the arrangement. In addition, the Company is paid a commission for underwriting,</w:t>
      </w:r>
    </w:p>
    <w:p>
      <w:pPr>
        <w:ind w:right="320"/>
        <w:spacing w:after="0" w:line="215" w:lineRule="auto"/>
        <w:rPr>
          <w:sz w:val="20"/>
          <w:szCs w:val="20"/>
          <w:color w:val="auto"/>
        </w:rPr>
      </w:pPr>
      <w:r>
        <w:rPr>
          <w:rFonts w:ascii="Times New Roman" w:cs="Times New Roman" w:eastAsia="Times New Roman" w:hAnsi="Times New Roman"/>
          <w:sz w:val="19"/>
          <w:szCs w:val="19"/>
          <w:color w:val="auto"/>
        </w:rPr>
        <w:t>binding coverage, and issuing State Farm Classic+ policies and can offer HDC memberships to State Farm Classic+ customers, providing Hagerty with an additional revenue opportunity. Commission revenue generated from State Farm Classic+ policies was $8.1 million and</w:t>
      </w:r>
    </w:p>
    <w:p>
      <w:pPr>
        <w:ind w:right="180"/>
        <w:spacing w:after="0" w:line="228" w:lineRule="auto"/>
        <w:rPr>
          <w:sz w:val="20"/>
          <w:szCs w:val="20"/>
          <w:color w:val="auto"/>
        </w:rPr>
      </w:pPr>
      <w:r>
        <w:rPr>
          <w:rFonts w:ascii="Times New Roman" w:cs="Times New Roman" w:eastAsia="Times New Roman" w:hAnsi="Times New Roman"/>
          <w:sz w:val="20"/>
          <w:szCs w:val="20"/>
          <w:color w:val="auto"/>
        </w:rPr>
        <w:t>$4.1 million for the three months ended September 30, 2026 and 2025, respectively, and $21.6 million and $7.1 million for the nine months ended September 30,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Reinsurance Agreement</w:t>
      </w:r>
    </w:p>
    <w:p>
      <w:pPr>
        <w:spacing w:after="0" w:line="220"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Hagerty Re has a quota share agreement to cede a portion of the risk related to High-Net-Worth Accounts to Oglesby Reinsurance Company, a wholly owned subsidiary of State Farm. Refer to Note 13 — Reinsurance for additional information on the Company's reinsurance</w:t>
      </w:r>
    </w:p>
    <w:p>
      <w:pPr>
        <w:spacing w:after="0"/>
        <w:rPr>
          <w:sz w:val="20"/>
          <w:szCs w:val="20"/>
          <w:color w:val="auto"/>
        </w:rPr>
      </w:pPr>
      <w:r>
        <w:rPr>
          <w:rFonts w:ascii="Times New Roman" w:cs="Times New Roman" w:eastAsia="Times New Roman" w:hAnsi="Times New Roman"/>
          <w:sz w:val="20"/>
          <w:szCs w:val="20"/>
          <w:color w:val="auto"/>
        </w:rPr>
        <w:t>programs.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all balances related to the risk ceded by Hagerty Re to State Farm subsidiaries: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7"/>
              </w:rPr>
              <w:t>Three months ended</w:t>
            </w:r>
          </w:p>
        </w:tc>
        <w:tc>
          <w:tcPr>
            <w:tcW w:w="480" w:type="dxa"/>
            <w:vAlign w:val="bottom"/>
          </w:tcPr>
          <w:p>
            <w:pPr>
              <w:spacing w:after="0"/>
              <w:rPr>
                <w:sz w:val="19"/>
                <w:szCs w:val="19"/>
                <w:color w:val="auto"/>
              </w:rPr>
            </w:pPr>
          </w:p>
        </w:tc>
        <w:tc>
          <w:tcPr>
            <w:tcW w:w="230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rPr>
              <w:t>September 30,</w:t>
            </w:r>
          </w:p>
        </w:tc>
        <w:tc>
          <w:tcPr>
            <w:tcW w:w="480" w:type="dxa"/>
            <w:vAlign w:val="bottom"/>
          </w:tcPr>
          <w:p>
            <w:pPr>
              <w:spacing w:after="0"/>
              <w:rPr>
                <w:sz w:val="22"/>
                <w:szCs w:val="22"/>
                <w:color w:val="auto"/>
              </w:rPr>
            </w:pPr>
          </w:p>
        </w:tc>
        <w:tc>
          <w:tcPr>
            <w:tcW w:w="230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87"/>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Revenue:</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320" w:type="dxa"/>
            <w:vAlign w:val="bottom"/>
            <w:shd w:val="clear" w:color="auto" w:fill="CCEEFF"/>
          </w:tcPr>
          <w:p>
            <w:pPr>
              <w:ind w:left="140"/>
              <w:spacing w:after="0" w:line="260" w:lineRule="exact"/>
              <w:rPr>
                <w:sz w:val="20"/>
                <w:szCs w:val="20"/>
                <w:color w:val="auto"/>
              </w:rPr>
            </w:pPr>
            <w:r>
              <w:rPr>
                <w:rFonts w:ascii="Times New Roman" w:cs="Times New Roman" w:eastAsia="Times New Roman" w:hAnsi="Times New Roman"/>
                <w:sz w:val="20"/>
                <w:szCs w:val="20"/>
                <w:color w:val="auto"/>
              </w:rPr>
              <w:t xml:space="preserve">Earned premium, net </w:t>
            </w:r>
            <w:r>
              <w:rPr>
                <w:rFonts w:ascii="Times New Roman" w:cs="Times New Roman" w:eastAsia="Times New Roman" w:hAnsi="Times New Roman"/>
                <w:sz w:val="25"/>
                <w:szCs w:val="25"/>
                <w:color w:val="auto"/>
                <w:vertAlign w:val="superscript"/>
              </w:rPr>
              <w:t>(1)</w:t>
            </w:r>
          </w:p>
        </w:tc>
        <w:tc>
          <w:tcPr>
            <w:tcW w:w="1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(5,461)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(4,923)</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(16,135)</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(14,114)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1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20" w:type="dxa"/>
            <w:vAlign w:val="bottom"/>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Losses and loss adjustment expenses, net </w:t>
            </w:r>
            <w:r>
              <w:rPr>
                <w:rFonts w:ascii="Times New Roman" w:cs="Times New Roman" w:eastAsia="Times New Roman" w:hAnsi="Times New Roman"/>
                <w:sz w:val="25"/>
                <w:szCs w:val="25"/>
                <w:color w:val="auto"/>
                <w:vertAlign w:val="superscript"/>
              </w:rPr>
              <w:t>(2)</w:t>
            </w:r>
          </w:p>
        </w:tc>
        <w:tc>
          <w:tcPr>
            <w:tcW w:w="1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(1,577)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(5,111)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(9,084)</w:t>
            </w: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Policy acquisition costs, net </w:t>
            </w:r>
            <w:r>
              <w:rPr>
                <w:rFonts w:ascii="Times New Roman" w:cs="Times New Roman" w:eastAsia="Times New Roman" w:hAnsi="Times New Roman"/>
                <w:sz w:val="25"/>
                <w:szCs w:val="25"/>
                <w:color w:val="auto"/>
                <w:vertAlign w:val="superscript"/>
              </w:rPr>
              <w:t>(3)</w:t>
            </w:r>
          </w:p>
        </w:tc>
        <w:tc>
          <w:tcPr>
            <w:tcW w:w="13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(2,559)</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(8,390)</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(7,339)</w:t>
            </w:r>
          </w:p>
        </w:tc>
        <w:tc>
          <w:tcPr>
            <w:tcW w:w="0" w:type="dxa"/>
            <w:vAlign w:val="bottom"/>
          </w:tcPr>
          <w:p>
            <w:pPr>
              <w:spacing w:after="0"/>
              <w:rPr>
                <w:sz w:val="1"/>
                <w:szCs w:val="1"/>
                <w:color w:val="auto"/>
              </w:rPr>
            </w:pPr>
          </w:p>
        </w:tc>
      </w:tr>
      <w:tr>
        <w:trPr>
          <w:trHeight w:val="275"/>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expenses</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(4,478)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(4,136)</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(13,501)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(16,423)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270"/>
        <w:spacing w:after="0" w:line="198" w:lineRule="auto"/>
        <w:tabs>
          <w:tab w:leader="none" w:pos="44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premiums ceded to State Farm subsidiaries, which are accounted for as a reduction to "Earned premium, net".</w:t>
      </w:r>
    </w:p>
    <w:p>
      <w:pPr>
        <w:ind w:left="420" w:right="500" w:hanging="250"/>
        <w:spacing w:after="0"/>
        <w:tabs>
          <w:tab w:leader="none" w:pos="455"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loss recoveries associated with reinsurance ceded to State Farm subsidiaries, which are accounted for as a reduction to "Losses and loss adjustment expenses, net".</w:t>
      </w:r>
    </w:p>
    <w:p>
      <w:pPr>
        <w:spacing w:after="0" w:line="71" w:lineRule="exact"/>
        <w:rPr>
          <w:rFonts w:ascii="Times New Roman" w:cs="Times New Roman" w:eastAsia="Times New Roman" w:hAnsi="Times New Roman"/>
          <w:sz w:val="22"/>
          <w:szCs w:val="22"/>
          <w:color w:val="auto"/>
          <w:vertAlign w:val="superscript"/>
        </w:rPr>
      </w:pPr>
    </w:p>
    <w:p>
      <w:pPr>
        <w:ind w:left="440" w:hanging="270"/>
        <w:spacing w:after="0" w:line="182" w:lineRule="auto"/>
        <w:tabs>
          <w:tab w:leader="none" w:pos="4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commissions earned from State Farm subsidiaries related to ceded reinsurance, which are accounted for as a reduction to "Policy acquisition costs, net".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September 30,</w:t>
            </w:r>
          </w:p>
        </w:tc>
        <w:tc>
          <w:tcPr>
            <w:tcW w:w="200" w:type="dxa"/>
            <w:vAlign w:val="bottom"/>
          </w:tcPr>
          <w:p>
            <w:pPr>
              <w:spacing w:after="0"/>
              <w:rPr>
                <w:sz w:val="22"/>
                <w:szCs w:val="22"/>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62"/>
        </w:trPr>
        <w:tc>
          <w:tcPr>
            <w:tcW w:w="6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6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91"/>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1060" w:type="dxa"/>
            <w:vAlign w:val="bottom"/>
          </w:tcPr>
          <w:p>
            <w:pPr>
              <w:spacing w:after="0"/>
              <w:rPr>
                <w:sz w:val="24"/>
                <w:szCs w:val="24"/>
                <w:color w:val="auto"/>
              </w:rPr>
            </w:pPr>
          </w:p>
        </w:tc>
        <w:tc>
          <w:tcPr>
            <w:tcW w:w="2400" w:type="dxa"/>
            <w:vAlign w:val="bottom"/>
            <w:gridSpan w:val="4"/>
          </w:tcPr>
          <w:p>
            <w:pPr>
              <w:jc w:val="right"/>
              <w:ind w:right="1121"/>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0" w:type="dxa"/>
            <w:vAlign w:val="bottom"/>
          </w:tcPr>
          <w:p>
            <w:pPr>
              <w:spacing w:after="0"/>
              <w:rPr>
                <w:sz w:val="1"/>
                <w:szCs w:val="1"/>
                <w:color w:val="auto"/>
              </w:rPr>
            </w:pPr>
          </w:p>
        </w:tc>
      </w:tr>
      <w:tr>
        <w:trPr>
          <w:trHeight w:val="274"/>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Reinsurance recoverables</w:t>
            </w:r>
          </w:p>
        </w:tc>
        <w:tc>
          <w:tcPr>
            <w:tcW w:w="1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6,934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6,668</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Other assets</w:t>
            </w:r>
          </w:p>
        </w:tc>
        <w:tc>
          <w:tcPr>
            <w:tcW w:w="166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6,223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2,716</w:t>
            </w: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assets</w:t>
            </w:r>
          </w:p>
        </w:tc>
        <w:tc>
          <w:tcPr>
            <w:tcW w:w="106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13,157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Liabilities: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gridSpan w:val="2"/>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Other liabilities </w:t>
            </w:r>
            <w:r>
              <w:rPr>
                <w:rFonts w:ascii="Times New Roman" w:cs="Times New Roman" w:eastAsia="Times New Roman" w:hAnsi="Times New Roman"/>
                <w:sz w:val="25"/>
                <w:szCs w:val="25"/>
                <w:color w:val="auto"/>
                <w:vertAlign w:val="superscript"/>
              </w:rPr>
              <w:t>(1)</w:t>
            </w:r>
          </w:p>
        </w:tc>
        <w:tc>
          <w:tcPr>
            <w:tcW w:w="106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11,966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5,224</w:t>
            </w:r>
          </w:p>
        </w:tc>
        <w:tc>
          <w:tcPr>
            <w:tcW w:w="0" w:type="dxa"/>
            <w:vAlign w:val="bottom"/>
          </w:tcPr>
          <w:p>
            <w:pPr>
              <w:spacing w:after="0"/>
              <w:rPr>
                <w:sz w:val="1"/>
                <w:szCs w:val="1"/>
                <w:color w:val="auto"/>
              </w:rPr>
            </w:pPr>
          </w:p>
        </w:tc>
      </w:tr>
      <w:tr>
        <w:trPr>
          <w:trHeight w:val="250"/>
        </w:trPr>
        <w:tc>
          <w:tcPr>
            <w:tcW w:w="77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liabilities</w:t>
            </w:r>
          </w:p>
        </w:tc>
        <w:tc>
          <w:tcPr>
            <w:tcW w:w="106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11,966</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40" w:hanging="270"/>
        <w:spacing w:after="0" w:line="222" w:lineRule="auto"/>
        <w:tabs>
          <w:tab w:leader="none" w:pos="44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reinsurance premiums due to State Farm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State Farm Term Loan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September 2023, Hagerty Re entered into an unsecured term loan facility with State Farm in an aggregate principal amount of</w:t>
      </w:r>
    </w:p>
    <w:p>
      <w:pPr>
        <w:ind w:right="200"/>
        <w:spacing w:after="0" w:line="228" w:lineRule="auto"/>
        <w:rPr>
          <w:sz w:val="20"/>
          <w:szCs w:val="20"/>
          <w:color w:val="auto"/>
        </w:rPr>
      </w:pPr>
      <w:r>
        <w:rPr>
          <w:rFonts w:ascii="Times New Roman" w:cs="Times New Roman" w:eastAsia="Times New Roman" w:hAnsi="Times New Roman"/>
          <w:sz w:val="20"/>
          <w:szCs w:val="20"/>
          <w:color w:val="auto"/>
        </w:rPr>
        <w:t>$25.0 million and an interest rate of 8.0% per annum. The State Farm Term Loan will mature in September 2033. Refer to Note 14 — Debt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Related Party Transactions</w:t>
      </w:r>
    </w:p>
    <w:p>
      <w:pPr>
        <w:spacing w:after="0" w:line="206" w:lineRule="exact"/>
        <w:rPr>
          <w:sz w:val="20"/>
          <w:szCs w:val="20"/>
          <w:color w:val="auto"/>
        </w:rPr>
      </w:pPr>
    </w:p>
    <w:p>
      <w:pPr>
        <w:jc w:val="both"/>
        <w:ind w:right="300"/>
        <w:spacing w:after="0" w:line="230" w:lineRule="auto"/>
        <w:rPr>
          <w:sz w:val="20"/>
          <w:szCs w:val="20"/>
          <w:color w:val="auto"/>
        </w:rPr>
      </w:pPr>
      <w:r>
        <w:rPr>
          <w:rFonts w:ascii="Times New Roman" w:cs="Times New Roman" w:eastAsia="Times New Roman" w:hAnsi="Times New Roman"/>
          <w:sz w:val="20"/>
          <w:szCs w:val="20"/>
          <w:color w:val="auto"/>
        </w:rPr>
        <w:t>From time-to-time, in the ordinary course of business, related parties, such as members of the Board and management, purchase insurance policies from the Company, receive payments on claims required by the Company's insurance policies, and buy and sell collector cars and enthusiast vehicles through marketplace auctions or in private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Compensation Agreements</w:t>
      </w:r>
      <w:r>
        <w:rPr>
          <w:rFonts w:ascii="Times New Roman" w:cs="Times New Roman" w:eastAsia="Times New Roman" w:hAnsi="Times New Roman"/>
          <w:sz w:val="20"/>
          <w:szCs w:val="20"/>
          <w:color w:val="auto"/>
        </w:rPr>
        <w:t> — In the ordinary course of conducting its business, the Company enters into certain employee</w:t>
      </w:r>
    </w:p>
    <w:p>
      <w:pPr>
        <w:ind w:right="100"/>
        <w:spacing w:after="0" w:line="221" w:lineRule="auto"/>
        <w:rPr>
          <w:sz w:val="20"/>
          <w:szCs w:val="20"/>
          <w:color w:val="auto"/>
        </w:rPr>
      </w:pPr>
      <w:r>
        <w:rPr>
          <w:rFonts w:ascii="Times New Roman" w:cs="Times New Roman" w:eastAsia="Times New Roman" w:hAnsi="Times New Roman"/>
          <w:sz w:val="20"/>
          <w:szCs w:val="20"/>
          <w:color w:val="auto"/>
        </w:rPr>
        <w:t>compensation agreements from time to time which commit it to severance obligations in the event an employee terminates employment with the Company. If applicable, these obligations are recorded as accrued expenses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 From time to time, the Company is involved in various claims and legal actions that arise in the ordinary course of business.</w:t>
      </w:r>
    </w:p>
    <w:p>
      <w:pPr>
        <w:ind w:right="360"/>
        <w:spacing w:after="0" w:line="215" w:lineRule="auto"/>
        <w:rPr>
          <w:sz w:val="20"/>
          <w:szCs w:val="20"/>
          <w:color w:val="auto"/>
        </w:rPr>
      </w:pPr>
      <w:r>
        <w:rPr>
          <w:rFonts w:ascii="Times New Roman" w:cs="Times New Roman" w:eastAsia="Times New Roman" w:hAnsi="Times New Roman"/>
          <w:sz w:val="19"/>
          <w:szCs w:val="19"/>
          <w:color w:val="auto"/>
        </w:rPr>
        <w:t>Management is required to assess the likelihood of any adverse judgments or outcomes related to these legal contingencies, as well as potential ranges of probable or reasonably possible losses. The determination of the amount of any losses to be recorded or disclosed as a</w:t>
      </w:r>
    </w:p>
    <w:p>
      <w:pPr>
        <w:spacing w:after="0" w:line="211" w:lineRule="auto"/>
        <w:rPr>
          <w:sz w:val="20"/>
          <w:szCs w:val="20"/>
          <w:color w:val="auto"/>
        </w:rPr>
      </w:pPr>
      <w:r>
        <w:rPr>
          <w:rFonts w:ascii="Times New Roman" w:cs="Times New Roman" w:eastAsia="Times New Roman" w:hAnsi="Times New Roman"/>
          <w:sz w:val="20"/>
          <w:szCs w:val="20"/>
          <w:color w:val="auto"/>
        </w:rPr>
        <w:t>result of these contingencies is based on a careful analysis of each individual exposure with, in some cases, the assistance of outside legal</w:t>
      </w:r>
    </w:p>
    <w:p>
      <w:pPr>
        <w:ind w:right="20"/>
        <w:spacing w:after="0" w:line="204" w:lineRule="auto"/>
        <w:rPr>
          <w:sz w:val="20"/>
          <w:szCs w:val="20"/>
          <w:color w:val="auto"/>
        </w:rPr>
      </w:pPr>
      <w:r>
        <w:rPr>
          <w:rFonts w:ascii="Times New Roman" w:cs="Times New Roman" w:eastAsia="Times New Roman" w:hAnsi="Times New Roman"/>
          <w:sz w:val="20"/>
          <w:szCs w:val="20"/>
          <w:color w:val="auto"/>
        </w:rPr>
        <w:t>counsel. The amount of losses recorded or disclosed for such contingencies may change in the future due to new developments in each matter or a change in legal or settlement strategy. While the impact of any one or more legal claims or proceedings could be material to the</w:t>
      </w:r>
    </w:p>
    <w:p>
      <w:pPr>
        <w:spacing w:after="0" w:line="1"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9"/>
          <w:szCs w:val="19"/>
          <w:color w:val="auto"/>
        </w:rPr>
        <w:t>Company's operating results in any period, management does not believe that the outcome of any of these pending claims or proceedings, individually or in the aggregate, will have a material adverse effect on the Company's consolidated financial condition or liquidity.</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 Subsequent Events</w:t>
      </w:r>
    </w:p>
    <w:p>
      <w:pPr>
        <w:spacing w:after="0" w:line="220"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0"/>
          <w:szCs w:val="20"/>
          <w:color w:val="auto"/>
        </w:rPr>
        <w:t>Management has evaluated subsequent events through the date these Condensed Consolidated Financial Statements were issued. Except for the Bennetts acquisition described below, management did not identify any subsequent events that require recognition or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Bennetts Acquisition</w:t>
      </w:r>
    </w:p>
    <w:p>
      <w:pPr>
        <w:spacing w:after="0" w:line="22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On October 8, 2026, the Company's wholly owned subsidiary, Hagerty International Holdings Limited, completed the previously announced acquisition of all of the issued shares of Bennetts Motorcycling Services Limited ("Bennetts"), a specialty motorcycle insurance broker in the</w:t>
      </w:r>
    </w:p>
    <w:p>
      <w:pPr>
        <w:spacing w:after="0" w:line="211" w:lineRule="auto"/>
        <w:rPr>
          <w:sz w:val="20"/>
          <w:szCs w:val="20"/>
          <w:color w:val="auto"/>
        </w:rPr>
      </w:pPr>
      <w:r>
        <w:rPr>
          <w:rFonts w:ascii="Times New Roman" w:cs="Times New Roman" w:eastAsia="Times New Roman" w:hAnsi="Times New Roman"/>
          <w:sz w:val="20"/>
          <w:szCs w:val="20"/>
          <w:color w:val="auto"/>
        </w:rPr>
        <w:t>United Kingdom, for cash consideration of approximately £34.5 million (approximately $46.0 million). The Company will account for the</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20"/>
          <w:szCs w:val="20"/>
          <w:color w:val="auto"/>
        </w:rPr>
        <w:t>transaction as a business combination and report Bennetts within its Insurance segment. The acquisition is not material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16"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9"/>
          <w:szCs w:val="19"/>
          <w:i w:val="1"/>
          <w:iCs w:val="1"/>
          <w:color w:val="auto"/>
        </w:rPr>
        <w:t>The following discussion and analysis of our financial condition and results of operations should be read in conjunction with our Annual Report on Form 10-K for the year ended December 31, 2025 ("Annual Report") and our Condensed Consolidated Financial Statements and</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related Notes included in Item 1 of Part I of this Quarterly Report on Form 10-Q ("Quarterly Report"). This Management's Discussion and</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i w:val="1"/>
          <w:iCs w:val="1"/>
          <w:color w:val="auto"/>
        </w:rPr>
        <w:t>Analysis of Financial Condition and Results of Operations ("MD&amp;A") contains forward-looking statements based upon current expectations that involve risks and uncertainties. Please refer to the section in this Quarterly Report entitled "Cautionary Statement Regarding Forward-</w:t>
      </w:r>
    </w:p>
    <w:p>
      <w:pPr>
        <w:spacing w:after="0"/>
        <w:rPr>
          <w:sz w:val="20"/>
          <w:szCs w:val="20"/>
          <w:color w:val="auto"/>
        </w:rPr>
      </w:pPr>
      <w:r>
        <w:rPr>
          <w:rFonts w:ascii="Times New Roman" w:cs="Times New Roman" w:eastAsia="Times New Roman" w:hAnsi="Times New Roman"/>
          <w:sz w:val="20"/>
          <w:szCs w:val="20"/>
          <w:i w:val="1"/>
          <w:iCs w:val="1"/>
          <w:color w:val="auto"/>
        </w:rPr>
        <w:t>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We are a market leader in providing insurance for collector cars and enthusiast vehicles, helping the automotive enthusiast community protect and enjoy their special cars for over 40 years. Through our insurance model, our wholly owned subsidiary, Hagerty Reinsurance Limited</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("Hagerty Re"), reinsures collector car and enthusiast vehicle insurance risks. Hagerty Re reinsures risks predominantly from policies issued by Essentia Insurance Company ("Essentia"), a subsidiary of Markel Group Inc. ("Markel"). Markel is a related party to the Company. Refer</w:t>
      </w:r>
    </w:p>
    <w:p>
      <w:pPr>
        <w:ind w:right="160"/>
        <w:spacing w:after="0" w:line="228" w:lineRule="auto"/>
        <w:rPr>
          <w:sz w:val="20"/>
          <w:szCs w:val="20"/>
          <w:color w:val="auto"/>
        </w:rPr>
      </w:pPr>
      <w:r>
        <w:rPr>
          <w:rFonts w:ascii="Times New Roman" w:cs="Times New Roman" w:eastAsia="Times New Roman" w:hAnsi="Times New Roman"/>
          <w:sz w:val="20"/>
          <w:szCs w:val="20"/>
          <w:color w:val="auto"/>
        </w:rPr>
        <w:t>to Note 20 — Related-Party Transactions in Item 1 of Part I of this Quarterly Report for additional information on related party transactions with Markel.</w:t>
      </w:r>
    </w:p>
    <w:p>
      <w:pPr>
        <w:spacing w:after="0" w:line="17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9"/>
          <w:szCs w:val="19"/>
          <w:color w:val="auto"/>
        </w:rPr>
        <w:t>We also operate as a Managing General Agent ("MGA") by underwriting, selling, and servicing collector car and enthusiast vehicle insurance policies on behalf of insurance carriers, including Hagerty Re under the Markel Fronting Arrangement. Our insurance products are</w:t>
      </w:r>
    </w:p>
    <w:p>
      <w:pPr>
        <w:spacing w:after="0" w:line="1" w:lineRule="exact"/>
        <w:rPr>
          <w:sz w:val="20"/>
          <w:szCs w:val="20"/>
          <w:color w:val="auto"/>
        </w:rPr>
      </w:pPr>
    </w:p>
    <w:p>
      <w:pPr>
        <w:ind w:right="520"/>
        <w:spacing w:after="0" w:line="221" w:lineRule="auto"/>
        <w:rPr>
          <w:sz w:val="20"/>
          <w:szCs w:val="20"/>
          <w:color w:val="auto"/>
        </w:rPr>
      </w:pPr>
      <w:r>
        <w:rPr>
          <w:rFonts w:ascii="Times New Roman" w:cs="Times New Roman" w:eastAsia="Times New Roman" w:hAnsi="Times New Roman"/>
          <w:sz w:val="20"/>
          <w:szCs w:val="20"/>
          <w:color w:val="auto"/>
        </w:rPr>
        <w:t>complemented by our membership product, Hagerty Drivers Club ("HDC"), our renowned car events, and our media and entertainment platforms.</w:t>
      </w:r>
    </w:p>
    <w:p>
      <w:pPr>
        <w:spacing w:after="0" w:line="189"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Complementing our insurance offerings, we operate a trusted marketplace where collectors and enthusiasts can buy and sell a wide range of vehicles, from entry level enthusiast vehicles to high value collector cars. Through our marketplace, we also provide financing solutions by</w:t>
      </w:r>
    </w:p>
    <w:p>
      <w:pPr>
        <w:spacing w:after="0"/>
        <w:rPr>
          <w:sz w:val="20"/>
          <w:szCs w:val="20"/>
          <w:color w:val="auto"/>
        </w:rPr>
      </w:pPr>
      <w:r>
        <w:rPr>
          <w:rFonts w:ascii="Times New Roman" w:cs="Times New Roman" w:eastAsia="Times New Roman" w:hAnsi="Times New Roman"/>
          <w:sz w:val="20"/>
          <w:szCs w:val="20"/>
          <w:color w:val="auto"/>
        </w:rPr>
        <w:t>structuring and issuing loans secured by collector cars.</w:t>
      </w:r>
    </w:p>
    <w:p>
      <w:pPr>
        <w:spacing w:after="0" w:line="19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Together, our integrated automotive ecosystem fosters a vibrant community where enthusiasts connect, share their passion, and access resources that enhance their ownership experience. Our vision is to be the world's most trusted and preferred brand for automotive enthusiasts</w:t>
      </w:r>
    </w:p>
    <w:p>
      <w:pPr>
        <w:spacing w:after="0"/>
        <w:rPr>
          <w:sz w:val="20"/>
          <w:szCs w:val="20"/>
          <w:color w:val="auto"/>
        </w:rPr>
      </w:pPr>
      <w:r>
        <w:rPr>
          <w:rFonts w:ascii="Times New Roman" w:cs="Times New Roman" w:eastAsia="Times New Roman" w:hAnsi="Times New Roman"/>
          <w:sz w:val="20"/>
          <w:szCs w:val="20"/>
          <w:color w:val="auto"/>
        </w:rPr>
        <w:t>to insure, buy, sell, and enjoy their special cars.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Markel Fronting Arrangement</w:t>
      </w:r>
    </w:p>
    <w:p>
      <w:pPr>
        <w:spacing w:after="0" w:line="20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9"/>
          <w:szCs w:val="19"/>
          <w:color w:val="auto"/>
        </w:rPr>
        <w:t>On December 31, 2025, we entered into new contractual arrangements and amended the terms of our existing contractual arrangements with Markel and its subsidiaries. These coordinated transactions with Markel formed an arrangement that became effective January 1, 2026 (the</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"Markel Fronting Arrangement"). Under the Markel Fronting Arrangement: (i) we continue to issue policies through Essentia, with our underwriting authority (including pricing decisions, rate filing, insurance rating, and risk selections) and claims authority expanded to the</w:t>
      </w:r>
    </w:p>
    <w:p>
      <w:pPr>
        <w:spacing w:after="0" w:line="211" w:lineRule="auto"/>
        <w:rPr>
          <w:sz w:val="20"/>
          <w:szCs w:val="20"/>
          <w:color w:val="auto"/>
        </w:rPr>
      </w:pPr>
      <w:r>
        <w:rPr>
          <w:rFonts w:ascii="Times New Roman" w:cs="Times New Roman" w:eastAsia="Times New Roman" w:hAnsi="Times New Roman"/>
          <w:sz w:val="20"/>
          <w:szCs w:val="20"/>
          <w:color w:val="auto"/>
        </w:rPr>
        <w:t>maximum levels permitted by applicable law; (ii) we have assumed increased administrative responsibilities for the policies issued through</w:t>
      </w:r>
    </w:p>
    <w:p>
      <w:pPr>
        <w:spacing w:after="0" w:line="215" w:lineRule="auto"/>
        <w:rPr>
          <w:sz w:val="20"/>
          <w:szCs w:val="20"/>
          <w:color w:val="auto"/>
        </w:rPr>
      </w:pPr>
      <w:r>
        <w:rPr>
          <w:rFonts w:ascii="Times New Roman" w:cs="Times New Roman" w:eastAsia="Times New Roman" w:hAnsi="Times New Roman"/>
          <w:sz w:val="19"/>
          <w:szCs w:val="19"/>
          <w:color w:val="auto"/>
        </w:rPr>
        <w:t>Essentia; (iii) Hagerty Re controls 100% of the premium and assumes 100% of the risk for policies written through Essentia; and (iv) Hagerty Re pays an initial fronting fee, representing 2% of written premium, to Markel for administrative support, which incrementally decreases</w:t>
      </w:r>
    </w:p>
    <w:p>
      <w:pPr>
        <w:ind w:right="580"/>
        <w:spacing w:after="0" w:line="228" w:lineRule="auto"/>
        <w:rPr>
          <w:sz w:val="20"/>
          <w:szCs w:val="20"/>
          <w:color w:val="auto"/>
        </w:rPr>
      </w:pPr>
      <w:r>
        <w:rPr>
          <w:rFonts w:ascii="Times New Roman" w:cs="Times New Roman" w:eastAsia="Times New Roman" w:hAnsi="Times New Roman"/>
          <w:sz w:val="20"/>
          <w:szCs w:val="20"/>
          <w:color w:val="auto"/>
        </w:rPr>
        <w:t>based on the level of written premium in each calendar year. We expect these changes to result in increased profitability and additional control, allowing for enhanced operational efficiencies.</w:t>
      </w:r>
    </w:p>
    <w:p>
      <w:pPr>
        <w:spacing w:after="0" w:line="176"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9"/>
          <w:szCs w:val="19"/>
          <w:color w:val="auto"/>
        </w:rPr>
        <w:t>Due to the expanded underwriting and claims authority granted to us under the Markel Fronting Arrangement, we now control the Essentia book of business. While our United States ("U.S.") MGA subsidiary and Hagerty Re continue to operate in the same manner they have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historically, beginning on January 1, 2026, the benefit of our MGA services with respect to the Essentia book of business is being received by Hagerty Re and not Essentia. As a result, effective in the first quarter of 2026, we are no longer recognizing commission revenue or the</w:t>
      </w:r>
    </w:p>
    <w:p>
      <w:pPr>
        <w:spacing w:after="0" w:line="211" w:lineRule="auto"/>
        <w:rPr>
          <w:sz w:val="20"/>
          <w:szCs w:val="20"/>
          <w:color w:val="auto"/>
        </w:rPr>
      </w:pPr>
      <w:r>
        <w:rPr>
          <w:rFonts w:ascii="Times New Roman" w:cs="Times New Roman" w:eastAsia="Times New Roman" w:hAnsi="Times New Roman"/>
          <w:sz w:val="20"/>
          <w:szCs w:val="20"/>
          <w:color w:val="auto"/>
        </w:rPr>
        <w:t>associated ceding commission expense for Essentia-originated policies in our Condensed Consolidated Financial Statements. However,</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ceding commission expense associated with Essentia policies issued in 2025 is continuing to be recognized ratably over the remaining term of those policies throughout 2026. In addition, policy acquisition costs incurred by our U.S. MGA subsidiary for Essentia policies issued in</w:t>
      </w:r>
    </w:p>
    <w:p>
      <w:pPr>
        <w:spacing w:after="0" w:line="211" w:lineRule="auto"/>
        <w:rPr>
          <w:sz w:val="20"/>
          <w:szCs w:val="20"/>
          <w:color w:val="auto"/>
        </w:rPr>
      </w:pPr>
      <w:r>
        <w:rPr>
          <w:rFonts w:ascii="Times New Roman" w:cs="Times New Roman" w:eastAsia="Times New Roman" w:hAnsi="Times New Roman"/>
          <w:sz w:val="20"/>
          <w:szCs w:val="20"/>
          <w:color w:val="auto"/>
        </w:rPr>
        <w:t>2026 are being deferred and amortized over the policy term. Although we expect the Markel Fronting Arrangement to result in increased</w:t>
      </w:r>
    </w:p>
    <w:p>
      <w:pPr>
        <w:ind w:right="200"/>
        <w:spacing w:after="0" w:line="221" w:lineRule="auto"/>
        <w:rPr>
          <w:sz w:val="20"/>
          <w:szCs w:val="20"/>
          <w:color w:val="auto"/>
        </w:rPr>
      </w:pPr>
      <w:r>
        <w:rPr>
          <w:rFonts w:ascii="Times New Roman" w:cs="Times New Roman" w:eastAsia="Times New Roman" w:hAnsi="Times New Roman"/>
          <w:sz w:val="20"/>
          <w:szCs w:val="20"/>
          <w:color w:val="auto"/>
        </w:rPr>
        <w:t>future profitability, throughout 2026, our reported commission revenue and ceding commission expense will be lower than in prior periods, reflecting the new contractual terms governing our relationship with Markel.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31, 2025, in connection with the Markel Fronting Arrangement, we entered into a loss portfolio transfer agreement (the "LPT</w:t>
      </w:r>
    </w:p>
    <w:p>
      <w:pPr>
        <w:ind w:right="380"/>
        <w:spacing w:after="0" w:line="215" w:lineRule="auto"/>
        <w:rPr>
          <w:sz w:val="20"/>
          <w:szCs w:val="20"/>
          <w:color w:val="auto"/>
        </w:rPr>
      </w:pPr>
      <w:r>
        <w:rPr>
          <w:rFonts w:ascii="Times New Roman" w:cs="Times New Roman" w:eastAsia="Times New Roman" w:hAnsi="Times New Roman"/>
          <w:sz w:val="19"/>
          <w:szCs w:val="19"/>
          <w:color w:val="auto"/>
        </w:rPr>
        <w:t>Agreement") that became effective on January 1, 2026. Pursuant to the LPT Agreement, Hagerty Re assumed 100% of the net retained liabilities for Essentia-originated policies issued prior to January 1, 2026 and received $50.5 million in cash consideration. For additional</w:t>
      </w:r>
    </w:p>
    <w:p>
      <w:pPr>
        <w:ind w:right="80"/>
        <w:spacing w:after="0" w:line="228" w:lineRule="auto"/>
        <w:rPr>
          <w:sz w:val="20"/>
          <w:szCs w:val="20"/>
          <w:color w:val="auto"/>
        </w:rPr>
      </w:pPr>
      <w:r>
        <w:rPr>
          <w:rFonts w:ascii="Times New Roman" w:cs="Times New Roman" w:eastAsia="Times New Roman" w:hAnsi="Times New Roman"/>
          <w:sz w:val="20"/>
          <w:szCs w:val="20"/>
          <w:color w:val="auto"/>
        </w:rPr>
        <w:t>information regarding the Markel Fronting Arrangement and the LPT Agreement, refer to Note 3 — Markel Fronting Arrangement in Item 1 of Part I of this Quarterly Report.</w:t>
      </w:r>
    </w:p>
    <w:p>
      <w:pPr>
        <w:sectPr>
          <w:pgSz w:w="11900" w:h="16838" w:orient="portrait"/>
          <w:cols w:equalWidth="0" w:num="1">
            <w:col w:w="11240"/>
          </w:cols>
          <w:pgMar w:left="320" w:top="238"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Reportable Segments</w:t>
      </w:r>
    </w:p>
    <w:p>
      <w:pPr>
        <w:spacing w:after="0" w:line="220"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Due to the continued revenue growth and recent geographic expansion of the marketplace business, beginning in the fourth quarter of 2025, we updated our segment reporting to reflect two operating and reportable segments: Insurance and Marketplace. Previously, we operated as a</w:t>
      </w:r>
    </w:p>
    <w:p>
      <w:pPr>
        <w:spacing w:after="0" w:line="211" w:lineRule="auto"/>
        <w:rPr>
          <w:sz w:val="20"/>
          <w:szCs w:val="20"/>
          <w:color w:val="auto"/>
        </w:rPr>
      </w:pPr>
      <w:r>
        <w:rPr>
          <w:rFonts w:ascii="Times New Roman" w:cs="Times New Roman" w:eastAsia="Times New Roman" w:hAnsi="Times New Roman"/>
          <w:sz w:val="20"/>
          <w:szCs w:val="20"/>
          <w:color w:val="auto"/>
        </w:rPr>
        <w:t>single operating and reportable segment. We have recast prior period segment information to conform to the current presentation in this</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auto"/>
        </w:rPr>
        <w:t>Quarterly Report. For more information regarding segment reporting, refer to Note 5 — Segment Reporting and Disaggregated Revenue in Item 1 of Part I of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Bennetts Acquisition</w:t>
      </w:r>
    </w:p>
    <w:p>
      <w:pPr>
        <w:spacing w:after="0" w:line="206"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auto"/>
        </w:rPr>
        <w:t>On October 8, 2026, our wholly owned subsidiary, Hagerty International Holdings Limited, completed the previously announced acquisition of all of the issued shares of Bennetts Motorcycling Services Limited ("Bennetts"), a specialty motorcycle insurance broker in the United</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Kingdom ("U.K."), for cash consideration of approximately £34.5 million (approximately $46.0 million). We will account for the acquisition as a business combination and report Bennetts within our Insurance segment. This acquisition expands our international insurance</w:t>
      </w:r>
    </w:p>
    <w:p>
      <w:pPr>
        <w:spacing w:after="0" w:line="211" w:lineRule="auto"/>
        <w:rPr>
          <w:sz w:val="20"/>
          <w:szCs w:val="20"/>
          <w:color w:val="auto"/>
        </w:rPr>
      </w:pPr>
      <w:r>
        <w:rPr>
          <w:rFonts w:ascii="Times New Roman" w:cs="Times New Roman" w:eastAsia="Times New Roman" w:hAnsi="Times New Roman"/>
          <w:sz w:val="20"/>
          <w:szCs w:val="20"/>
          <w:color w:val="auto"/>
        </w:rPr>
        <w:t>distribution and, together with Broad Arrow's growing European presence, is expected to create cross-selling opportunities across our</w:t>
      </w:r>
    </w:p>
    <w:p>
      <w:pPr>
        <w:ind w:right="160"/>
        <w:spacing w:after="0" w:line="221" w:lineRule="auto"/>
        <w:rPr>
          <w:sz w:val="20"/>
          <w:szCs w:val="20"/>
          <w:color w:val="auto"/>
        </w:rPr>
      </w:pPr>
      <w:r>
        <w:rPr>
          <w:rFonts w:ascii="Times New Roman" w:cs="Times New Roman" w:eastAsia="Times New Roman" w:hAnsi="Times New Roman"/>
          <w:sz w:val="20"/>
          <w:szCs w:val="20"/>
          <w:color w:val="auto"/>
        </w:rPr>
        <w:t>specialty insurance and Marketplace offerings, as well as create community engagement across motorcycle and enthusiast car owners in the U.K.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Divestiture</w:t>
      </w:r>
    </w:p>
    <w:p>
      <w:pPr>
        <w:spacing w:after="0" w:line="220"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9"/>
          <w:szCs w:val="19"/>
          <w:color w:val="auto"/>
        </w:rPr>
        <w:t>During the third quarter of 2026, management approved a plan to sell the primary assets and liabilities of a single Hagerty Garage + Social location. As of September 30, 2026, the assets and liabilities were classified as held-for-sale and certain fixed assets were written down to</w:t>
      </w:r>
    </w:p>
    <w:p>
      <w:pPr>
        <w:ind w:right="180"/>
        <w:spacing w:after="0" w:line="204" w:lineRule="auto"/>
        <w:rPr>
          <w:sz w:val="20"/>
          <w:szCs w:val="20"/>
          <w:color w:val="auto"/>
        </w:rPr>
      </w:pPr>
      <w:r>
        <w:rPr>
          <w:rFonts w:ascii="Times New Roman" w:cs="Times New Roman" w:eastAsia="Times New Roman" w:hAnsi="Times New Roman"/>
          <w:sz w:val="20"/>
          <w:szCs w:val="20"/>
          <w:color w:val="auto"/>
        </w:rPr>
        <w:t>their estimated fair value based on the expected sales price, resulting in a loss of approximately $2.3 million recorded in the third quarter of 2026 within "Selling, general, and administrative expenses" in the Condensed Consolidated Statements of Operations. The assets and</w:t>
      </w:r>
    </w:p>
    <w:p>
      <w:pPr>
        <w:spacing w:after="0" w:line="211" w:lineRule="auto"/>
        <w:rPr>
          <w:sz w:val="20"/>
          <w:szCs w:val="20"/>
          <w:color w:val="auto"/>
        </w:rPr>
      </w:pPr>
      <w:r>
        <w:rPr>
          <w:rFonts w:ascii="Times New Roman" w:cs="Times New Roman" w:eastAsia="Times New Roman" w:hAnsi="Times New Roman"/>
          <w:sz w:val="20"/>
          <w:szCs w:val="20"/>
          <w:color w:val="auto"/>
        </w:rPr>
        <w:t>liabilities classified as held-for-sale are not material to the Condensed Consolidated Balance Sheets and have not been presented separately.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completed the sale of these assets and liabilities on November 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Earned premium, net</w:t>
      </w:r>
    </w:p>
    <w:p>
      <w:pPr>
        <w:spacing w:after="0" w:line="206"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20"/>
          <w:szCs w:val="20"/>
          <w:color w:val="auto"/>
        </w:rPr>
        <w:t>Earned premium represents the earned portion of written premiums assumed under quota share reinsurance agreements with insurance carriers, net of premiums ceded to various reinsurers. Premiums assumed and ceded are recognized on a pro-rata basis over the term of the reinsured policies, which is generally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Commission and fee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generate commission and fee revenue through our MGA subsidiaries, primarily from the underwriting, sale, and servicing of collector car</w:t>
      </w:r>
    </w:p>
    <w:p>
      <w:pPr>
        <w:spacing w:after="0" w:line="6"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9"/>
          <w:szCs w:val="19"/>
          <w:color w:val="auto"/>
        </w:rPr>
        <w:t>and enthusiast vehicle insurance policies on behalf of our insurance carrier partners. Commissions are earned for both new and renewed policies. Commission and fee revenue is earned when the policy becomes effective, net of allowances for policy changes and cancellations.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January 1, 2026, commission revenue for Essentia-originated policies is no longer recognized in our Condensed Consolidated</w:t>
      </w:r>
    </w:p>
    <w:p>
      <w:pPr>
        <w:ind w:right="360"/>
        <w:spacing w:after="0" w:line="215" w:lineRule="auto"/>
        <w:rPr>
          <w:sz w:val="20"/>
          <w:szCs w:val="20"/>
          <w:color w:val="auto"/>
        </w:rPr>
      </w:pPr>
      <w:r>
        <w:rPr>
          <w:rFonts w:ascii="Times New Roman" w:cs="Times New Roman" w:eastAsia="Times New Roman" w:hAnsi="Times New Roman"/>
          <w:sz w:val="19"/>
          <w:szCs w:val="19"/>
          <w:color w:val="auto"/>
        </w:rPr>
        <w:t>Statements of Operations, reflecting the new contractual terms governing our relationship with Markel, as discussed in more detail above under "</w:t>
      </w:r>
      <w:r>
        <w:rPr>
          <w:rFonts w:ascii="Times New Roman" w:cs="Times New Roman" w:eastAsia="Times New Roman" w:hAnsi="Times New Roman"/>
          <w:sz w:val="19"/>
          <w:szCs w:val="19"/>
          <w:i w:val="1"/>
          <w:iCs w:val="1"/>
          <w:color w:val="auto"/>
        </w:rPr>
        <w:t>Markel Fronting Arrangement</w:t>
      </w:r>
      <w:r>
        <w:rPr>
          <w:rFonts w:ascii="Times New Roman" w:cs="Times New Roman" w:eastAsia="Times New Roman" w:hAnsi="Times New Roman"/>
          <w:sz w:val="19"/>
          <w:szCs w:val="19"/>
          <w:color w:val="auto"/>
        </w:rPr>
        <w:t>". Commission and fee revenue continues to include commissions earned from our other MGA</w:t>
      </w:r>
    </w:p>
    <w:p>
      <w:pPr>
        <w:spacing w:after="0" w:line="211" w:lineRule="auto"/>
        <w:rPr>
          <w:sz w:val="20"/>
          <w:szCs w:val="20"/>
          <w:color w:val="auto"/>
        </w:rPr>
      </w:pPr>
      <w:r>
        <w:rPr>
          <w:rFonts w:ascii="Times New Roman" w:cs="Times New Roman" w:eastAsia="Times New Roman" w:hAnsi="Times New Roman"/>
          <w:sz w:val="20"/>
          <w:szCs w:val="20"/>
          <w:color w:val="auto"/>
        </w:rPr>
        <w:t>activities, including from a subsidiary of State Farm Mutual Automobile Insurance Company ("State Farm") and our insurance carrier</w:t>
      </w:r>
    </w:p>
    <w:p>
      <w:pPr>
        <w:ind w:right="260"/>
        <w:spacing w:after="0" w:line="221" w:lineRule="auto"/>
        <w:rPr>
          <w:sz w:val="20"/>
          <w:szCs w:val="20"/>
          <w:color w:val="auto"/>
        </w:rPr>
      </w:pPr>
      <w:r>
        <w:rPr>
          <w:rFonts w:ascii="Times New Roman" w:cs="Times New Roman" w:eastAsia="Times New Roman" w:hAnsi="Times New Roman"/>
          <w:sz w:val="20"/>
          <w:szCs w:val="20"/>
          <w:color w:val="auto"/>
        </w:rPr>
        <w:t>partners in Canada and the U.K. State Farm is a related party to the Company. Refer to Note 20 — Related-Party Transactions in Item 1 of Part I of this Quarterly Report for additional information on related party transactions with State Farm.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Marketplace revenue</w:t>
      </w:r>
    </w:p>
    <w:p>
      <w:pPr>
        <w:spacing w:after="0" w:line="220"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Our marketplace business generates revenue from two principal sources: (i) commission and fee-based revenue earned from the sale of collector cars and enthusiast vehicles through live auctions, time-based digital auctions, and brokered private sales; and (ii) revenue earned</w:t>
      </w:r>
    </w:p>
    <w:p>
      <w:pPr>
        <w:ind w:right="220"/>
        <w:spacing w:after="0" w:line="228" w:lineRule="auto"/>
        <w:rPr>
          <w:sz w:val="20"/>
          <w:szCs w:val="20"/>
          <w:color w:val="auto"/>
        </w:rPr>
      </w:pPr>
      <w:r>
        <w:rPr>
          <w:rFonts w:ascii="Times New Roman" w:cs="Times New Roman" w:eastAsia="Times New Roman" w:hAnsi="Times New Roman"/>
          <w:sz w:val="20"/>
          <w:szCs w:val="20"/>
          <w:color w:val="auto"/>
        </w:rPr>
        <w:t>on the sale of collector cars and enthusiast vehicles that we have opportunistically acquired for resale. In addition, we earn finance revenue from loans made to qualified collectors and businesses secured by their collector cars.</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Commission and fee-based marketplace revenue is recognized on a net basis when the underlying sale is completed, which is generally upon</w:t>
      </w:r>
    </w:p>
    <w:p>
      <w:pPr>
        <w:spacing w:after="0" w:line="6"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the matching of a seller and buyer in a legally binding sale transaction. Revenue from the sale of acquired collector cars and enthusiast vehicles is recognized on a gross basis at the point in time when title and control of the vehicle is transferred to the buyer, which is generally</w:t>
      </w:r>
    </w:p>
    <w:p>
      <w:pPr>
        <w:ind w:right="760"/>
        <w:spacing w:after="0" w:line="228" w:lineRule="auto"/>
        <w:rPr>
          <w:sz w:val="20"/>
          <w:szCs w:val="20"/>
          <w:color w:val="auto"/>
        </w:rPr>
      </w:pPr>
      <w:r>
        <w:rPr>
          <w:rFonts w:ascii="Times New Roman" w:cs="Times New Roman" w:eastAsia="Times New Roman" w:hAnsi="Times New Roman"/>
          <w:sz w:val="20"/>
          <w:szCs w:val="20"/>
          <w:color w:val="auto"/>
        </w:rPr>
        <w:t>upon collection of the full purchase price. Finance revenue is recognized over time based on the amount of the outstanding loan, the applicable interest rate on the loan, and the length of time the loan was outstanding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Membership and other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earn subscription revenue from the sale of HDC memberships, which are bundled with our insurance policies and give members access to</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an array of products and services, including emergency roadside assistance, Hagerty Drivers Club Magazine, special access to automotive enthusiast events, our proprietary vehicle valuation tool, and special vehicle-related discounts. Revenue from the sale of HDC memberships</w:t>
      </w:r>
    </w:p>
    <w:p>
      <w:pPr>
        <w:ind w:right="200"/>
        <w:spacing w:after="0" w:line="228" w:lineRule="auto"/>
        <w:rPr>
          <w:sz w:val="20"/>
          <w:szCs w:val="20"/>
          <w:color w:val="auto"/>
        </w:rPr>
      </w:pPr>
      <w:r>
        <w:rPr>
          <w:rFonts w:ascii="Times New Roman" w:cs="Times New Roman" w:eastAsia="Times New Roman" w:hAnsi="Times New Roman"/>
          <w:sz w:val="20"/>
          <w:szCs w:val="20"/>
          <w:color w:val="auto"/>
        </w:rPr>
        <w:t>is recognized ratably over the period of the membership. The membership is treated as a single performance obligation to provide access to stated Member benefits over the life of the membership, which is currently one year.</w:t>
      </w:r>
    </w:p>
    <w:p>
      <w:pPr>
        <w:spacing w:after="0" w:line="176"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20"/>
          <w:szCs w:val="20"/>
          <w:color w:val="auto"/>
        </w:rPr>
        <w:t>Other revenue primarily includes admission, sponsorship, and advertising revenue. Other revenue is recognized when the performance obligation for the related product or service is satisfied.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investment income</w:t>
      </w:r>
    </w:p>
    <w:p>
      <w:pPr>
        <w:spacing w:after="0" w:line="2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Net investment income primarily consists of interest earned on our cash, cash equivalents, and fixed maturity securities, and, to a lesser extent, dividends earned from equity securities. Net investment income is recorded net of related investment management fees and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investment gains</w:t>
      </w:r>
    </w:p>
    <w:p>
      <w:pPr>
        <w:spacing w:after="0" w:line="206"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Net investment gains represents the cumulative difference between the cost basis (or carrying value) and the net proceeds received from the sale of investments during the period, as well as the change in fair value of our equity securities between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Losses and loss adjustment expenses, net</w:t>
      </w:r>
    </w:p>
    <w:p>
      <w:pPr>
        <w:spacing w:after="0" w:line="220"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Losses and loss adjustment expenses represents our best estimate of the losses and associated settlement costs related to the risks we assume. Losses consist of claims paid, case reserves, and incurred but not reported ("IBNR") costs, which are recorded net of estimated recoveries</w:t>
      </w:r>
    </w:p>
    <w:p>
      <w:pPr>
        <w:spacing w:after="0"/>
        <w:rPr>
          <w:sz w:val="20"/>
          <w:szCs w:val="20"/>
          <w:color w:val="auto"/>
        </w:rPr>
      </w:pPr>
      <w:r>
        <w:rPr>
          <w:rFonts w:ascii="Times New Roman" w:cs="Times New Roman" w:eastAsia="Times New Roman" w:hAnsi="Times New Roman"/>
          <w:sz w:val="20"/>
          <w:szCs w:val="20"/>
          <w:color w:val="auto"/>
        </w:rPr>
        <w:t>from reinsurance, salvage, and subrogation. Loss adjustment expenses consist of the cost associated with processing and settling claims.</w:t>
      </w:r>
    </w:p>
    <w:p>
      <w:pPr>
        <w:spacing w:after="0" w:line="19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Throughout the year, we record a quarterly estimate of losses and loss adjustment expenses for the current accident year using an annual loss ratio, which is based on statistical analysis performed by our internal and external actuarial teams. The annual loss ratio is reviewed regularly</w:t>
      </w:r>
    </w:p>
    <w:p>
      <w:pPr>
        <w:ind w:right="140"/>
        <w:spacing w:after="0" w:line="228" w:lineRule="auto"/>
        <w:rPr>
          <w:sz w:val="20"/>
          <w:szCs w:val="20"/>
          <w:color w:val="auto"/>
        </w:rPr>
      </w:pPr>
      <w:r>
        <w:rPr>
          <w:rFonts w:ascii="Times New Roman" w:cs="Times New Roman" w:eastAsia="Times New Roman" w:hAnsi="Times New Roman"/>
          <w:sz w:val="20"/>
          <w:szCs w:val="20"/>
          <w:color w:val="auto"/>
        </w:rPr>
        <w:t>throughout the year and adjusted, as necessary. Management believes this approach provides a more consistent view of loss experience over the year given the seasonality of our business.</w:t>
      </w:r>
    </w:p>
    <w:p>
      <w:pPr>
        <w:spacing w:after="0" w:line="176" w:lineRule="exact"/>
        <w:rPr>
          <w:sz w:val="20"/>
          <w:szCs w:val="20"/>
          <w:color w:val="auto"/>
        </w:rPr>
      </w:pPr>
    </w:p>
    <w:p>
      <w:pPr>
        <w:ind w:right="720"/>
        <w:spacing w:after="0"/>
        <w:rPr>
          <w:sz w:val="20"/>
          <w:szCs w:val="20"/>
          <w:color w:val="auto"/>
        </w:rPr>
      </w:pPr>
      <w:r>
        <w:rPr>
          <w:rFonts w:ascii="Times New Roman" w:cs="Times New Roman" w:eastAsia="Times New Roman" w:hAnsi="Times New Roman"/>
          <w:sz w:val="20"/>
          <w:szCs w:val="20"/>
          <w:color w:val="auto"/>
        </w:rPr>
        <w:t>Losses and loss adjustment expenses also includes the impact of reserve adjustments recorded to reflect the favorable or unfavorable development of prior accident year claims.</w:t>
      </w:r>
    </w:p>
    <w:p>
      <w:pPr>
        <w:spacing w:after="0" w:line="188" w:lineRule="exact"/>
        <w:rPr>
          <w:sz w:val="20"/>
          <w:szCs w:val="20"/>
          <w:color w:val="auto"/>
        </w:rPr>
      </w:pPr>
    </w:p>
    <w:p>
      <w:pPr>
        <w:ind w:right="560"/>
        <w:spacing w:after="0" w:line="227" w:lineRule="auto"/>
        <w:rPr>
          <w:sz w:val="20"/>
          <w:szCs w:val="20"/>
          <w:color w:val="auto"/>
        </w:rPr>
      </w:pPr>
      <w:r>
        <w:rPr>
          <w:rFonts w:ascii="Times New Roman" w:cs="Times New Roman" w:eastAsia="Times New Roman" w:hAnsi="Times New Roman"/>
          <w:sz w:val="19"/>
          <w:szCs w:val="19"/>
          <w:color w:val="auto"/>
        </w:rPr>
        <w:t>Effective January 1, 2026, as a result of the Markel Fronting Arrangement through which we assumed control of the Essentia book of business, internal overhead costs related to claims handling and settlement for this book of business are reported within losses and loss</w:t>
      </w:r>
    </w:p>
    <w:p>
      <w:pPr>
        <w:spacing w:after="0"/>
        <w:rPr>
          <w:sz w:val="20"/>
          <w:szCs w:val="20"/>
          <w:color w:val="auto"/>
        </w:rPr>
      </w:pPr>
      <w:r>
        <w:rPr>
          <w:rFonts w:ascii="Times New Roman" w:cs="Times New Roman" w:eastAsia="Times New Roman" w:hAnsi="Times New Roman"/>
          <w:sz w:val="20"/>
          <w:szCs w:val="20"/>
          <w:color w:val="auto"/>
        </w:rPr>
        <w:t>adjustment expenses. Prior to January 1, 2026, such costs were reported within Selling, general, and administrative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Policy acquisition costs, net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Policy acquisition costs represents costs directly related to the successful acquisition or renewal of insurance policies where we assume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Prior to January 1, 2026, Policy acquisition costs included only the ceding commissions paid by Hagerty Re to insurance carriers for the risks</w:t>
      </w:r>
    </w:p>
    <w:p>
      <w:pPr>
        <w:spacing w:after="0" w:line="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assumed under the quota share agreements with those carriers. These commissions represented Hagerty Re's pro-rata share of the carrier's costs including (i) policy acquisition costs, which principally consisted of the commissions earned by our U.S. MGA subsidiary related to the</w:t>
      </w:r>
    </w:p>
    <w:p>
      <w:pPr>
        <w:spacing w:after="0"/>
        <w:rPr>
          <w:sz w:val="20"/>
          <w:szCs w:val="20"/>
          <w:color w:val="auto"/>
        </w:rPr>
      </w:pPr>
      <w:r>
        <w:rPr>
          <w:rFonts w:ascii="Times New Roman" w:cs="Times New Roman" w:eastAsia="Times New Roman" w:hAnsi="Times New Roman"/>
          <w:sz w:val="20"/>
          <w:szCs w:val="20"/>
          <w:color w:val="auto"/>
        </w:rPr>
        <w:t>Essentia book of business; (ii) general and administrative costs; and (iii) other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January 1, 2026, the definition of Policy acquisition costs includes costs incurred by our U.S. MGA subsidiary for the successful</w:t>
      </w:r>
    </w:p>
    <w:p>
      <w:pPr>
        <w:ind w:right="140"/>
        <w:spacing w:after="0" w:line="215" w:lineRule="auto"/>
        <w:rPr>
          <w:sz w:val="20"/>
          <w:szCs w:val="20"/>
          <w:color w:val="auto"/>
        </w:rPr>
      </w:pPr>
      <w:r>
        <w:rPr>
          <w:rFonts w:ascii="Times New Roman" w:cs="Times New Roman" w:eastAsia="Times New Roman" w:hAnsi="Times New Roman"/>
          <w:sz w:val="19"/>
          <w:szCs w:val="19"/>
          <w:color w:val="auto"/>
        </w:rPr>
        <w:t>acquisition or renewal of insurance policies issued under the Markel Fronting Arrangement. The policy acquisition costs associated with the Markel Fronting Arrangement primarily include (i) third-party broker expense; (ii) certain salaries, benefits, and other costs associated with</w:t>
      </w:r>
    </w:p>
    <w:p>
      <w:pPr>
        <w:spacing w:after="0" w:line="211" w:lineRule="auto"/>
        <w:rPr>
          <w:sz w:val="20"/>
          <w:szCs w:val="20"/>
          <w:color w:val="auto"/>
        </w:rPr>
      </w:pPr>
      <w:r>
        <w:rPr>
          <w:rFonts w:ascii="Times New Roman" w:cs="Times New Roman" w:eastAsia="Times New Roman" w:hAnsi="Times New Roman"/>
          <w:sz w:val="20"/>
          <w:szCs w:val="20"/>
          <w:color w:val="auto"/>
        </w:rPr>
        <w:t>underwriting, selling, issuing, and processing policies; (iii) fees paid to the fronting carrier; and (iv) premium taxes. Policy acquisition costs</w:t>
      </w:r>
    </w:p>
    <w:p>
      <w:pPr>
        <w:ind w:right="180"/>
        <w:spacing w:after="0" w:line="221" w:lineRule="auto"/>
        <w:rPr>
          <w:sz w:val="20"/>
          <w:szCs w:val="20"/>
          <w:color w:val="auto"/>
        </w:rPr>
      </w:pPr>
      <w:r>
        <w:rPr>
          <w:rFonts w:ascii="Times New Roman" w:cs="Times New Roman" w:eastAsia="Times New Roman" w:hAnsi="Times New Roman"/>
          <w:sz w:val="20"/>
          <w:szCs w:val="20"/>
          <w:color w:val="auto"/>
        </w:rPr>
        <w:t>also include ceding commissions paid by Hagerty Re to other insurance carriers for the risks assumed under quota share agreements. Policy acquisition costs are recognized ratably over the term of the related policies, which is generally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January 1, 2026, ceding commission expense for Essentia-originated policies is no longer recognized in our Condensed</w:t>
      </w:r>
    </w:p>
    <w:p>
      <w:pPr>
        <w:spacing w:after="0" w:line="215" w:lineRule="auto"/>
        <w:rPr>
          <w:sz w:val="20"/>
          <w:szCs w:val="20"/>
          <w:color w:val="auto"/>
        </w:rPr>
      </w:pPr>
      <w:r>
        <w:rPr>
          <w:rFonts w:ascii="Times New Roman" w:cs="Times New Roman" w:eastAsia="Times New Roman" w:hAnsi="Times New Roman"/>
          <w:sz w:val="19"/>
          <w:szCs w:val="19"/>
          <w:color w:val="auto"/>
        </w:rPr>
        <w:t>Consolidated Statements of Operations, reflecting the new contractual terms governing our relationship with Markel, as discussed in more detail above under "</w:t>
      </w:r>
      <w:r>
        <w:rPr>
          <w:rFonts w:ascii="Times New Roman" w:cs="Times New Roman" w:eastAsia="Times New Roman" w:hAnsi="Times New Roman"/>
          <w:sz w:val="19"/>
          <w:szCs w:val="19"/>
          <w:i w:val="1"/>
          <w:iCs w:val="1"/>
          <w:color w:val="auto"/>
        </w:rPr>
        <w:t>Markel Fronting Arrangement</w:t>
      </w:r>
      <w:r>
        <w:rPr>
          <w:rFonts w:ascii="Times New Roman" w:cs="Times New Roman" w:eastAsia="Times New Roman" w:hAnsi="Times New Roman"/>
          <w:sz w:val="19"/>
          <w:szCs w:val="19"/>
          <w:color w:val="auto"/>
        </w:rPr>
        <w:t>". However, ceding commission expense associated with Essentia policies issued in 2025 is</w:t>
      </w:r>
    </w:p>
    <w:p>
      <w:pPr>
        <w:spacing w:after="0"/>
        <w:rPr>
          <w:sz w:val="20"/>
          <w:szCs w:val="20"/>
          <w:color w:val="auto"/>
        </w:rPr>
      </w:pPr>
      <w:r>
        <w:rPr>
          <w:rFonts w:ascii="Times New Roman" w:cs="Times New Roman" w:eastAsia="Times New Roman" w:hAnsi="Times New Roman"/>
          <w:sz w:val="20"/>
          <w:szCs w:val="20"/>
          <w:color w:val="auto"/>
        </w:rPr>
        <w:t>continuing to be recognized ratably over the remaining term of those policies throughout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Underwriting and other insurance expenses</w:t>
      </w:r>
    </w:p>
    <w:p>
      <w:pPr>
        <w:spacing w:after="0" w:line="206"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9"/>
          <w:szCs w:val="19"/>
          <w:color w:val="auto"/>
        </w:rPr>
        <w:t>Underwriting and other insurance expenses consists of the operating costs incurred in connection with our risk taking activities that do not qualify as policy acquisition costs. Effective January 1, 2026, as a result of the Markel Fronting Arrangement through which we assumed</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control of the Essentia book of business, Underwriting and other insurance expenses include costs incurred by our U.S. MGA subsidiary that are associated with our underwriting operations such as certain salaries and benefit costs, technology and systems costs that support the</w:t>
      </w:r>
    </w:p>
    <w:p>
      <w:pPr>
        <w:spacing w:after="0" w:line="222" w:lineRule="auto"/>
        <w:rPr>
          <w:sz w:val="20"/>
          <w:szCs w:val="20"/>
          <w:color w:val="auto"/>
        </w:rPr>
      </w:pPr>
      <w:r>
        <w:rPr>
          <w:rFonts w:ascii="Times New Roman" w:cs="Times New Roman" w:eastAsia="Times New Roman" w:hAnsi="Times New Roman"/>
          <w:sz w:val="19"/>
          <w:szCs w:val="19"/>
          <w:color w:val="auto"/>
        </w:rPr>
        <w:t>underwriting process, and expenses related to risk evaluation and pricing. Also included are general and administrative expenses attributable</w:t>
      </w:r>
    </w:p>
    <w:p>
      <w:pPr>
        <w:ind w:right="100"/>
        <w:spacing w:after="0" w:line="221" w:lineRule="auto"/>
        <w:rPr>
          <w:sz w:val="20"/>
          <w:szCs w:val="20"/>
          <w:color w:val="auto"/>
        </w:rPr>
      </w:pPr>
      <w:r>
        <w:rPr>
          <w:rFonts w:ascii="Times New Roman" w:cs="Times New Roman" w:eastAsia="Times New Roman" w:hAnsi="Times New Roman"/>
          <w:sz w:val="20"/>
          <w:szCs w:val="20"/>
          <w:color w:val="auto"/>
        </w:rPr>
        <w:t>to the operations of our risk taking activities, including facilities costs, professional services fees, regulatory and compliance costs, and other overhead expenses. Prior to January 1, 2026, such costs were reported within Selling,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0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Selling, general, and administrative expenses primarily consists of the operating costs incurred by our non-risk taking activities, including our MGA, membership, events, and media activities, as well as our Marketplace segment. These costs primarily include salaries and benefits, sales expense, general and administrative expenses, and depreciation and amortization.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Items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and other, net</w:t>
      </w:r>
    </w:p>
    <w:p>
      <w:pPr>
        <w:spacing w:after="0" w:line="220"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20"/>
          <w:szCs w:val="20"/>
          <w:color w:val="auto"/>
        </w:rPr>
        <w:t>Interest expense and other primarily includes interest expense related to outstanding borrowings, primarily related to our credit facility with JPMorgan Chase Bank, N.A. ("JPM"), as well as the State Farm Term Loan (as defined in Note 14 — Debt in Item 1 of Part I of this</w:t>
      </w:r>
    </w:p>
    <w:p>
      <w:pPr>
        <w:spacing w:after="0" w:line="212" w:lineRule="auto"/>
        <w:rPr>
          <w:sz w:val="20"/>
          <w:szCs w:val="20"/>
          <w:color w:val="auto"/>
        </w:rPr>
      </w:pPr>
      <w:r>
        <w:rPr>
          <w:rFonts w:ascii="Times New Roman" w:cs="Times New Roman" w:eastAsia="Times New Roman" w:hAnsi="Times New Roman"/>
          <w:sz w:val="20"/>
          <w:szCs w:val="20"/>
          <w:color w:val="auto"/>
        </w:rPr>
        <w:t>Quarterly Report). Interest expense and other also includes the amortization of the gain from the LPT Agreement, changes in the estimated</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value of the liability associated with the Tax Receivable Agreement ("TRA") ("TRA Liability"), and foreign currency transaction gains and losses. Refer to Note 3 — Markel Fronting Arrangement in Item 1 of Part I of this Quarterly Report for additional information related to the</w:t>
      </w:r>
    </w:p>
    <w:p>
      <w:pPr>
        <w:spacing w:after="0"/>
        <w:rPr>
          <w:sz w:val="20"/>
          <w:szCs w:val="20"/>
          <w:color w:val="auto"/>
        </w:rPr>
      </w:pPr>
      <w:r>
        <w:rPr>
          <w:rFonts w:ascii="Times New Roman" w:cs="Times New Roman" w:eastAsia="Times New Roman" w:hAnsi="Times New Roman"/>
          <w:sz w:val="20"/>
          <w:szCs w:val="20"/>
          <w:color w:val="auto"/>
        </w:rPr>
        <w:t>LPT Agreement. Refer to Note 19 — Taxation in Item 1 of Part I of this Quarterly Report for additional information related to the TRA.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 benefit</w:t>
      </w:r>
    </w:p>
    <w:p>
      <w:pPr>
        <w:spacing w:after="0" w:line="20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The Hagerty Group, LLC ("THG") is taxed as a pass-through ownership structure under provisions of the Internal Revenue Code ("IRC") and a similar section of state income tax law. As such, any taxable income or loss generated by THG is passed through to and included in the taxable income or loss of THG unit holders, including Hagerty, Inc.</w:t>
      </w:r>
    </w:p>
    <w:p>
      <w:pPr>
        <w:spacing w:after="0" w:line="176"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auto"/>
        </w:rPr>
        <w:t>Hagerty, Inc. is taxed as a corporation and pays corporate federal, state, and local taxes with respect to income allocated from THG. Hagerty, Inc., Hagerty Insurance Holdings, Inc., Broad Arrow, Hagerty Radwood, Inc., and various foreign subsidiaries are treated as taxable entities</w:t>
      </w:r>
    </w:p>
    <w:p>
      <w:pPr>
        <w:spacing w:after="0" w:line="1" w:lineRule="exact"/>
        <w:rPr>
          <w:sz w:val="20"/>
          <w:szCs w:val="20"/>
          <w:color w:val="auto"/>
        </w:rPr>
      </w:pPr>
    </w:p>
    <w:p>
      <w:pPr>
        <w:ind w:right="480"/>
        <w:spacing w:after="0" w:line="221" w:lineRule="auto"/>
        <w:rPr>
          <w:sz w:val="20"/>
          <w:szCs w:val="20"/>
          <w:color w:val="auto"/>
        </w:rPr>
      </w:pPr>
      <w:r>
        <w:rPr>
          <w:rFonts w:ascii="Times New Roman" w:cs="Times New Roman" w:eastAsia="Times New Roman" w:hAnsi="Times New Roman"/>
          <w:sz w:val="20"/>
          <w:szCs w:val="20"/>
          <w:color w:val="auto"/>
        </w:rPr>
        <w:t>and income taxes are provided where applicable. Hagerty Insurance Holdings, Inc. files a consolidated tax return with its wholly owned corporate subsidiaries Hagerty Re and Drivers Edge Insurance Company ("Drivers Edge").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2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In MD&amp;A, we discuss certain key operating metrics for the Insurance and Marketplace segments, as described below. We use these key operating metrics to evaluate our business, measure our performance, identify trends against planned initiatives, prepare financial projections,</w:t>
      </w:r>
    </w:p>
    <w:p>
      <w:pPr>
        <w:spacing w:after="0"/>
        <w:rPr>
          <w:sz w:val="20"/>
          <w:szCs w:val="20"/>
          <w:color w:val="auto"/>
        </w:rPr>
      </w:pPr>
      <w:r>
        <w:rPr>
          <w:rFonts w:ascii="Times New Roman" w:cs="Times New Roman" w:eastAsia="Times New Roman" w:hAnsi="Times New Roman"/>
          <w:sz w:val="20"/>
          <w:szCs w:val="20"/>
          <w:color w:val="auto"/>
        </w:rPr>
        <w:t>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Segment</w:t>
      </w:r>
    </w:p>
    <w:p>
      <w:pPr>
        <w:spacing w:after="0" w:line="216"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9"/>
          <w:szCs w:val="19"/>
          <w:i w:val="1"/>
          <w:iCs w:val="1"/>
          <w:color w:val="auto"/>
        </w:rPr>
        <w:t xml:space="preserve">Total Written Premium </w:t>
      </w:r>
      <w:r>
        <w:rPr>
          <w:rFonts w:ascii="Times New Roman" w:cs="Times New Roman" w:eastAsia="Times New Roman" w:hAnsi="Times New Roman"/>
          <w:sz w:val="19"/>
          <w:szCs w:val="19"/>
          <w:color w:val="auto"/>
        </w:rPr>
        <w:t>represents the total amount of insurance premium written by our MGA subsidiaries on behalf of our insurance carrier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partners and wholly owned insurance carrier subsidiary, Drivers Edge, during the period. Total Written Premium reflects the direct economic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 of our policy acquisition efforts.</w:t>
      </w:r>
    </w:p>
    <w:p>
      <w:pPr>
        <w:spacing w:after="0" w:line="190"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i w:val="1"/>
          <w:iCs w:val="1"/>
          <w:color w:val="auto"/>
        </w:rPr>
        <w:t xml:space="preserve">Net Assumed Premium </w:t>
      </w:r>
      <w:r>
        <w:rPr>
          <w:rFonts w:ascii="Times New Roman" w:cs="Times New Roman" w:eastAsia="Times New Roman" w:hAnsi="Times New Roman"/>
          <w:sz w:val="19"/>
          <w:szCs w:val="19"/>
          <w:color w:val="auto"/>
        </w:rPr>
        <w:t>represents the amount of insurance premium assumed by Hagerty Re under quota share reinsurance arrangements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insurance carriers during the period, net of premiums ceded to various reinsurers. Net Assumed Premium is closely correlated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growth of earned premium and underwriting results of Hagerty Re.</w:t>
      </w:r>
    </w:p>
    <w:p>
      <w:pPr>
        <w:spacing w:after="0" w:line="190"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i w:val="1"/>
          <w:iCs w:val="1"/>
          <w:color w:val="auto"/>
        </w:rPr>
        <w:t xml:space="preserve">Hagerty Re Loss Ratio </w:t>
      </w:r>
      <w:r>
        <w:rPr>
          <w:rFonts w:ascii="Times New Roman" w:cs="Times New Roman" w:eastAsia="Times New Roman" w:hAnsi="Times New Roman"/>
          <w:sz w:val="19"/>
          <w:szCs w:val="19"/>
          <w:color w:val="auto"/>
        </w:rPr>
        <w:t>represents the ratio, expressed as a percentage, of (i) Hagerty Re's losses and loss adjustment expenses to (ii)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earned premium. Hagerty Re Loss Ratio is calculated using Hagerty Re's standalone financial statements. For the three and nine months</w:t>
      </w:r>
    </w:p>
    <w:p>
      <w:pPr>
        <w:spacing w:after="0" w:line="211" w:lineRule="auto"/>
        <w:rPr>
          <w:sz w:val="20"/>
          <w:szCs w:val="20"/>
          <w:color w:val="auto"/>
        </w:rPr>
      </w:pPr>
      <w:r>
        <w:rPr>
          <w:rFonts w:ascii="Times New Roman" w:cs="Times New Roman" w:eastAsia="Times New Roman" w:hAnsi="Times New Roman"/>
          <w:sz w:val="20"/>
          <w:szCs w:val="20"/>
          <w:color w:val="auto"/>
        </w:rPr>
        <w:t>ended September 30, 2026, this excludes $3.8 million and $12.9 million, respectively, of claims handling expenses incurred by our MGA</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subsidiaries on behalf of Hagerty Re. Hagerty Re's standalone financial statements are prepared in accordance with accounting principles generally accepted in the United States of America ("GAAP"). This metric allows us to evaluate Hagerty Re's loss patterns on the basis of its</w:t>
      </w:r>
    </w:p>
    <w:p>
      <w:pPr>
        <w:ind w:right="540"/>
        <w:spacing w:after="0" w:line="228" w:lineRule="auto"/>
        <w:rPr>
          <w:sz w:val="20"/>
          <w:szCs w:val="20"/>
          <w:color w:val="auto"/>
        </w:rPr>
      </w:pPr>
      <w:r>
        <w:rPr>
          <w:rFonts w:ascii="Times New Roman" w:cs="Times New Roman" w:eastAsia="Times New Roman" w:hAnsi="Times New Roman"/>
          <w:sz w:val="20"/>
          <w:szCs w:val="20"/>
          <w:color w:val="auto"/>
        </w:rPr>
        <w:t>standalone GAAP financial statements and track loss experience and identify trends that inform our pricing, reserving, and reinsurance decisions.</w:t>
      </w:r>
    </w:p>
    <w:p>
      <w:pPr>
        <w:spacing w:after="0" w:line="17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9"/>
          <w:szCs w:val="19"/>
          <w:i w:val="1"/>
          <w:iCs w:val="1"/>
          <w:color w:val="auto"/>
        </w:rPr>
        <w:t xml:space="preserve">Hagerty Re Combined Ratio </w:t>
      </w:r>
      <w:r>
        <w:rPr>
          <w:rFonts w:ascii="Times New Roman" w:cs="Times New Roman" w:eastAsia="Times New Roman" w:hAnsi="Times New Roman"/>
          <w:sz w:val="19"/>
          <w:szCs w:val="19"/>
          <w:color w:val="auto"/>
        </w:rPr>
        <w:t>represents the ratio, expressed as a percentage, of (i) Hagerty Re's losses, loss adjustment expenses, policy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acquisition costs, and underwriting and other insurance expenses to (ii) its earned premium. Hagerty Re Combined Ratio is calculated using</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Hagerty Re's standalone GAAP financial statements. For the three and nine months ended September 30, 2026, this includes $81.2 million and $136.3 million, respectively, of commissions paid to our MGA subsidiaries that are eliminated in consolidation. This metric provides a</w:t>
      </w:r>
    </w:p>
    <w:p>
      <w:pPr>
        <w:ind w:right="260"/>
        <w:spacing w:after="0" w:line="221" w:lineRule="auto"/>
        <w:rPr>
          <w:sz w:val="20"/>
          <w:szCs w:val="20"/>
          <w:color w:val="auto"/>
        </w:rPr>
      </w:pPr>
      <w:r>
        <w:rPr>
          <w:rFonts w:ascii="Times New Roman" w:cs="Times New Roman" w:eastAsia="Times New Roman" w:hAnsi="Times New Roman"/>
          <w:sz w:val="20"/>
          <w:szCs w:val="20"/>
          <w:color w:val="auto"/>
        </w:rPr>
        <w:t>benchmark to evaluate Hagerty Re's underwriting profitability on the basis of its standalone GAAP financial statements. A combined ratio under 100% indicates underwriting income while a combined ratio exceeding 100% indicates an underwriting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New Business Count </w:t>
      </w:r>
      <w:r>
        <w:rPr>
          <w:rFonts w:ascii="Times New Roman" w:cs="Times New Roman" w:eastAsia="Times New Roman" w:hAnsi="Times New Roman"/>
          <w:sz w:val="20"/>
          <w:szCs w:val="20"/>
          <w:color w:val="auto"/>
        </w:rPr>
        <w:t>represents the number of new insurance policies written by our MGA subsidiaries during the period. New Business</w:t>
      </w:r>
    </w:p>
    <w:p>
      <w:pPr>
        <w:spacing w:after="0" w:line="215" w:lineRule="auto"/>
        <w:rPr>
          <w:sz w:val="20"/>
          <w:szCs w:val="20"/>
          <w:color w:val="auto"/>
        </w:rPr>
      </w:pPr>
      <w:r>
        <w:rPr>
          <w:rFonts w:ascii="Times New Roman" w:cs="Times New Roman" w:eastAsia="Times New Roman" w:hAnsi="Times New Roman"/>
          <w:sz w:val="19"/>
          <w:szCs w:val="19"/>
          <w:color w:val="auto"/>
        </w:rPr>
        <w:t>Count is an important metric to assess our financial performance because policy growth is critical to our success. While we benefit from strong policy retention through renewals, new policies more than offset those cancelled or non-renewed at expiration. New policies also often</w:t>
      </w:r>
    </w:p>
    <w:p>
      <w:pPr>
        <w:spacing w:after="0"/>
        <w:rPr>
          <w:sz w:val="20"/>
          <w:szCs w:val="20"/>
          <w:color w:val="auto"/>
        </w:rPr>
      </w:pPr>
      <w:r>
        <w:rPr>
          <w:rFonts w:ascii="Times New Roman" w:cs="Times New Roman" w:eastAsia="Times New Roman" w:hAnsi="Times New Roman"/>
          <w:sz w:val="20"/>
          <w:szCs w:val="20"/>
          <w:color w:val="auto"/>
        </w:rPr>
        <w:t>mean new relationships and an opportunity to sell additional products and services.</w:t>
      </w:r>
    </w:p>
    <w:p>
      <w:pPr>
        <w:spacing w:after="0" w:line="190"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20"/>
          <w:szCs w:val="20"/>
          <w:i w:val="1"/>
          <w:iCs w:val="1"/>
          <w:color w:val="auto"/>
        </w:rPr>
        <w:t xml:space="preserve">Policies in Force </w:t>
      </w:r>
      <w:r>
        <w:rPr>
          <w:rFonts w:ascii="Times New Roman" w:cs="Times New Roman" w:eastAsia="Times New Roman" w:hAnsi="Times New Roman"/>
          <w:sz w:val="20"/>
          <w:szCs w:val="20"/>
          <w:color w:val="auto"/>
        </w:rPr>
        <w:t>("PIF") represents the number of current and active insurance policies written by our MGA subsidiaries as of the end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 PIF is an important metric to assess our financial performance because policy growth drives revenue growth, increases brand</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awareness and market penetration, generates additional insight to improve the performance of our platform, and provides key data to assist us in strategic decision making.</w:t>
      </w:r>
    </w:p>
    <w:p>
      <w:pPr>
        <w:spacing w:after="0" w:line="17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9"/>
          <w:szCs w:val="19"/>
          <w:i w:val="1"/>
          <w:iCs w:val="1"/>
          <w:color w:val="auto"/>
        </w:rPr>
        <w:t xml:space="preserve">PIF Retention </w:t>
      </w:r>
      <w:r>
        <w:rPr>
          <w:rFonts w:ascii="Times New Roman" w:cs="Times New Roman" w:eastAsia="Times New Roman" w:hAnsi="Times New Roman"/>
          <w:sz w:val="19"/>
          <w:szCs w:val="19"/>
          <w:color w:val="auto"/>
        </w:rPr>
        <w:t>represents the percentage of expiring insurance policies written by our MGA subsidiaries that are renewed on the renewal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effective date, calculated on a twelve month basis. PIF Retention is an important measurement of the number of policies retained each year,</w:t>
      </w:r>
    </w:p>
    <w:p>
      <w:pPr>
        <w:spacing w:after="0" w:line="1"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20"/>
          <w:szCs w:val="20"/>
          <w:color w:val="auto"/>
        </w:rPr>
        <w:t>which contributes to our recurring revenue streams including commissions earned by our MGA subsidiaries, HDC membership fees, and earned premium generated by Hagerty 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Vehicles in Force </w:t>
      </w:r>
      <w:r>
        <w:rPr>
          <w:rFonts w:ascii="Times New Roman" w:cs="Times New Roman" w:eastAsia="Times New Roman" w:hAnsi="Times New Roman"/>
          <w:sz w:val="19"/>
          <w:szCs w:val="19"/>
          <w:color w:val="auto"/>
        </w:rPr>
        <w:t>represents the number of current vehicles that are insured by policies written by our MGA subsidiaries as of the end of the</w:t>
      </w:r>
    </w:p>
    <w:p>
      <w:pPr>
        <w:spacing w:after="0" w:line="10"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period. Vehicles in Force is an important metric to assess our financial performance because insured vehicle growth drives revenue growth and increases market penetration.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HDC Paid Member Count </w:t>
      </w:r>
      <w:r>
        <w:rPr>
          <w:rFonts w:ascii="Times New Roman" w:cs="Times New Roman" w:eastAsia="Times New Roman" w:hAnsi="Times New Roman"/>
          <w:sz w:val="20"/>
          <w:szCs w:val="20"/>
          <w:color w:val="auto"/>
        </w:rPr>
        <w:t>represents the number of current insurance policyholders and paid HDC subscribers (collectively, "Members")</w:t>
      </w:r>
    </w:p>
    <w:p>
      <w:pPr>
        <w:spacing w:after="0" w:line="215" w:lineRule="auto"/>
        <w:rPr>
          <w:sz w:val="20"/>
          <w:szCs w:val="20"/>
          <w:color w:val="auto"/>
        </w:rPr>
      </w:pPr>
      <w:r>
        <w:rPr>
          <w:rFonts w:ascii="Times New Roman" w:cs="Times New Roman" w:eastAsia="Times New Roman" w:hAnsi="Times New Roman"/>
          <w:sz w:val="19"/>
          <w:szCs w:val="19"/>
          <w:color w:val="auto"/>
        </w:rPr>
        <w:t>who pay an annual membership subscription as of the end of the period. HDC Paid Member Count primarily includes Members whose HDC membership is bundled with their insurance policy and paid as part of their policy premium. HDC Paid Member Count is an important metric</w:t>
      </w:r>
    </w:p>
    <w:p>
      <w:pPr>
        <w:ind w:right="720"/>
        <w:spacing w:after="0" w:line="228" w:lineRule="auto"/>
        <w:rPr>
          <w:sz w:val="20"/>
          <w:szCs w:val="20"/>
          <w:color w:val="auto"/>
        </w:rPr>
      </w:pPr>
      <w:r>
        <w:rPr>
          <w:rFonts w:ascii="Times New Roman" w:cs="Times New Roman" w:eastAsia="Times New Roman" w:hAnsi="Times New Roman"/>
          <w:sz w:val="20"/>
          <w:szCs w:val="20"/>
          <w:color w:val="auto"/>
        </w:rPr>
        <w:t>because it helps us measure membership revenue growth and provides an opportunity to cross-sell other products and services to our Members.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Marketplace Segment</w:t>
      </w:r>
    </w:p>
    <w:p>
      <w:pPr>
        <w:spacing w:after="0" w:line="216"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Aggregate Auction Sales </w:t>
      </w:r>
      <w:r>
        <w:rPr>
          <w:rFonts w:ascii="Times New Roman" w:cs="Times New Roman" w:eastAsia="Times New Roman" w:hAnsi="Times New Roman"/>
          <w:sz w:val="19"/>
          <w:szCs w:val="19"/>
          <w:color w:val="auto"/>
        </w:rPr>
        <w:t>represents the total purchase price paid by buyers, including our buyer's premium and fees, for vehicles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memorabilia purchased through Broad Arrow's live and online auctions, as well as through Hagerty Marketplace's online sale platform.</w:t>
      </w:r>
    </w:p>
    <w:p>
      <w:pPr>
        <w:spacing w:after="0" w:line="14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Net Auction Sales </w:t>
      </w:r>
      <w:r>
        <w:rPr>
          <w:rFonts w:ascii="Times New Roman" w:cs="Times New Roman" w:eastAsia="Times New Roman" w:hAnsi="Times New Roman"/>
          <w:sz w:val="20"/>
          <w:szCs w:val="20"/>
          <w:color w:val="auto"/>
        </w:rPr>
        <w:t>represents the total purchase price paid by buyers, excluding our buyer's premium and fees, for vehicles and memorabilia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purchased through Broad Arrow's live and online auctions, as well as through Hagerty Marketplace's online sale platform.</w:t>
      </w:r>
    </w:p>
    <w:p>
      <w:pPr>
        <w:spacing w:after="0" w:line="178"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Private Sales </w:t>
      </w:r>
      <w:r>
        <w:rPr>
          <w:rFonts w:ascii="Times New Roman" w:cs="Times New Roman" w:eastAsia="Times New Roman" w:hAnsi="Times New Roman"/>
          <w:sz w:val="20"/>
          <w:szCs w:val="20"/>
          <w:color w:val="auto"/>
        </w:rPr>
        <w:t>is a volume metric representing the total purchase price paid by buyers for all vehicles and memorabilia purchased through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Broad Arrow's private sales business, including brokered sales and sales of our inventory.</w:t>
      </w:r>
    </w:p>
    <w:p>
      <w:pPr>
        <w:sectPr>
          <w:pgSz w:w="11900" w:h="16838" w:orient="portrait"/>
          <w:cols w:equalWidth="0" w:num="1">
            <w:col w:w="11220"/>
          </w:cols>
          <w:pgMar w:left="320" w:top="238" w:right="35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7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BAC Loan Portfolio Balance </w:t>
      </w:r>
      <w:r>
        <w:rPr>
          <w:rFonts w:ascii="Times New Roman" w:cs="Times New Roman" w:eastAsia="Times New Roman" w:hAnsi="Times New Roman"/>
          <w:sz w:val="20"/>
          <w:szCs w:val="20"/>
          <w:color w:val="auto"/>
        </w:rPr>
        <w:t>represents the period end loan portfolio balance of Broad Arrow Capital LLC ("BAC") recorded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Condensed Consolidated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BAC Average Loan Portfolio </w:t>
      </w:r>
      <w:r>
        <w:rPr>
          <w:rFonts w:ascii="Times New Roman" w:cs="Times New Roman" w:eastAsia="Times New Roman" w:hAnsi="Times New Roman"/>
          <w:sz w:val="20"/>
          <w:szCs w:val="20"/>
          <w:color w:val="auto"/>
        </w:rPr>
        <w:t>represents the monthly average loan portfolio balance of BAC during the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Three Months Ended September 30, 2026 and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Highlights</w:t>
      </w:r>
    </w:p>
    <w:p>
      <w:pPr>
        <w:spacing w:after="0" w:line="206"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The table below presents a summary of key financial measures from our Condensed Consolidated Financial Statements, which are prepared in accordance with GAAP, as well as our non-GAAP financial measures.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20"/>
                <w:szCs w:val="20"/>
                <w:color w:val="auto"/>
              </w:rPr>
              <w:t>Three months ended September 30,</w:t>
            </w:r>
          </w:p>
        </w:tc>
        <w:tc>
          <w:tcPr>
            <w:tcW w:w="820" w:type="dxa"/>
            <w:vAlign w:val="bottom"/>
            <w:tcBorders>
              <w:bottom w:val="single" w:sz="8" w:color="auto"/>
            </w:tcBorders>
          </w:tcPr>
          <w:p>
            <w:pPr>
              <w:spacing w:after="0"/>
              <w:rPr>
                <w:sz w:val="22"/>
                <w:szCs w:val="22"/>
                <w:color w:val="auto"/>
              </w:rPr>
            </w:pPr>
          </w:p>
        </w:tc>
      </w:tr>
      <w:tr>
        <w:trPr>
          <w:trHeight w:val="254"/>
        </w:trPr>
        <w:tc>
          <w:tcPr>
            <w:tcW w:w="4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rPr>
              <w:t>Change</w:t>
            </w:r>
          </w:p>
        </w:tc>
        <w:tc>
          <w:tcPr>
            <w:tcW w:w="820" w:type="dxa"/>
            <w:vAlign w:val="bottom"/>
            <w:tcBorders>
              <w:bottom w:val="single" w:sz="8" w:color="auto"/>
            </w:tcBorders>
          </w:tcPr>
          <w:p>
            <w:pPr>
              <w:spacing w:after="0"/>
              <w:rPr>
                <w:sz w:val="22"/>
                <w:szCs w:val="22"/>
                <w:color w:val="auto"/>
              </w:rPr>
            </w:pPr>
          </w:p>
        </w:tc>
      </w:tr>
      <w:tr>
        <w:trPr>
          <w:trHeight w:val="28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GAAP Financial Measures</w:t>
            </w:r>
          </w:p>
        </w:tc>
        <w:tc>
          <w:tcPr>
            <w:tcW w:w="280" w:type="dxa"/>
            <w:vAlign w:val="bottom"/>
          </w:tcPr>
          <w:p>
            <w:pPr>
              <w:spacing w:after="0"/>
              <w:rPr>
                <w:sz w:val="24"/>
                <w:szCs w:val="24"/>
                <w:color w:val="auto"/>
              </w:rPr>
            </w:pPr>
          </w:p>
        </w:tc>
        <w:tc>
          <w:tcPr>
            <w:tcW w:w="4620" w:type="dxa"/>
            <w:vAlign w:val="bottom"/>
            <w:gridSpan w:val="7"/>
          </w:tcPr>
          <w:p>
            <w:pPr>
              <w:jc w:val="right"/>
              <w:ind w:right="41"/>
              <w:spacing w:after="0"/>
              <w:rPr>
                <w:sz w:val="20"/>
                <w:szCs w:val="20"/>
                <w:color w:val="auto"/>
              </w:rPr>
            </w:pPr>
            <w:r>
              <w:rPr>
                <w:rFonts w:ascii="Times New Roman" w:cs="Times New Roman" w:eastAsia="Times New Roman" w:hAnsi="Times New Roman"/>
                <w:sz w:val="20"/>
                <w:szCs w:val="20"/>
                <w:i w:val="1"/>
                <w:iCs w:val="1"/>
                <w:color w:val="auto"/>
              </w:rPr>
              <w:t>dollars in thousands (except per share amounts)</w:t>
            </w:r>
          </w:p>
        </w:tc>
        <w:tc>
          <w:tcPr>
            <w:tcW w:w="820" w:type="dxa"/>
            <w:vAlign w:val="bottom"/>
          </w:tcPr>
          <w:p>
            <w:pPr>
              <w:spacing w:after="0"/>
              <w:rPr>
                <w:sz w:val="24"/>
                <w:szCs w:val="24"/>
                <w:color w:val="auto"/>
              </w:rPr>
            </w:pPr>
          </w:p>
        </w:tc>
      </w:tr>
      <w:tr>
        <w:trPr>
          <w:trHeight w:val="260"/>
        </w:trPr>
        <w:tc>
          <w:tcPr>
            <w:tcW w:w="5520" w:type="dxa"/>
            <w:vAlign w:val="bottom"/>
            <w:gridSpan w:val="2"/>
            <w:shd w:val="clear" w:color="auto" w:fill="CCEEFF"/>
          </w:tcPr>
          <w:p>
            <w:pPr>
              <w:ind w:left="140"/>
              <w:spacing w:after="0" w:line="260" w:lineRule="exact"/>
              <w:rPr>
                <w:sz w:val="20"/>
                <w:szCs w:val="20"/>
                <w:color w:val="auto"/>
              </w:rPr>
            </w:pPr>
            <w:r>
              <w:rPr>
                <w:rFonts w:ascii="Times New Roman" w:cs="Times New Roman" w:eastAsia="Times New Roman" w:hAnsi="Times New Roman"/>
                <w:sz w:val="20"/>
                <w:szCs w:val="20"/>
                <w:color w:val="auto"/>
              </w:rPr>
              <w:t xml:space="preserve">Total revenue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354,242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391,417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20"/>
                <w:szCs w:val="20"/>
                <w:color w:val="auto"/>
              </w:rPr>
              <w:t>(37,175)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Income before taxes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41,399</w:t>
            </w:r>
          </w:p>
        </w:tc>
        <w:tc>
          <w:tcPr>
            <w:tcW w:w="8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13,337</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28,062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210.4 %</w:t>
            </w:r>
          </w:p>
        </w:tc>
      </w:tr>
      <w:tr>
        <w:trPr>
          <w:trHeight w:val="257"/>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36,269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20"/>
                <w:szCs w:val="20"/>
                <w:color w:val="auto"/>
              </w:rPr>
              <w:t>(9,902)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5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income attributable to Class A Common Stockholders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8,385</w:t>
            </w:r>
          </w:p>
        </w:tc>
        <w:tc>
          <w:tcPr>
            <w:tcW w:w="8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18,945</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(10,560)</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w:t>
            </w:r>
          </w:p>
        </w:tc>
      </w:tr>
      <w:tr>
        <w:trPr>
          <w:trHeight w:val="256"/>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Basic earnings per share ("EPS")</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20"/>
                <w:szCs w:val="20"/>
                <w:color w:val="auto"/>
              </w:rPr>
              <w:t>(0.10)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(55.6)%</w:t>
            </w:r>
          </w:p>
        </w:tc>
      </w:tr>
      <w:tr>
        <w:trPr>
          <w:trHeight w:val="25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Diluted EPS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(0.03)</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r>
      <w:tr>
        <w:trPr>
          <w:trHeight w:val="270"/>
        </w:trPr>
        <w:tc>
          <w:tcPr>
            <w:tcW w:w="4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6"/>
        </w:trPr>
        <w:tc>
          <w:tcPr>
            <w:tcW w:w="5520" w:type="dxa"/>
            <w:vAlign w:val="bottom"/>
            <w:gridSpan w:val="2"/>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97,051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20"/>
                <w:szCs w:val="20"/>
                <w:color w:val="auto"/>
              </w:rPr>
              <w:t>37,700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63.5 %</w:t>
            </w:r>
          </w:p>
        </w:tc>
      </w:tr>
      <w:tr>
        <w:trPr>
          <w:trHeight w:val="257"/>
        </w:trPr>
        <w:tc>
          <w:tcPr>
            <w:tcW w:w="5520" w:type="dxa"/>
            <w:vAlign w:val="bottom"/>
            <w:gridSpan w:val="2"/>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Adjusted Net Income </w:t>
            </w:r>
            <w:r>
              <w:rPr>
                <w:rFonts w:ascii="Times New Roman" w:cs="Times New Roman" w:eastAsia="Times New Roman" w:hAnsi="Times New Roman"/>
                <w:sz w:val="25"/>
                <w:szCs w:val="25"/>
                <w:color w:val="auto"/>
                <w:vertAlign w:val="superscript"/>
              </w:rPr>
              <w:t>(2)</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35,618</w:t>
            </w:r>
          </w:p>
        </w:tc>
        <w:tc>
          <w:tcPr>
            <w:tcW w:w="8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33,540</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2,078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6.2 %</w:t>
            </w:r>
          </w:p>
        </w:tc>
      </w:tr>
      <w:tr>
        <w:trPr>
          <w:trHeight w:val="256"/>
        </w:trPr>
        <w:tc>
          <w:tcPr>
            <w:tcW w:w="5520" w:type="dxa"/>
            <w:vAlign w:val="bottom"/>
            <w:gridSpan w:val="2"/>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Adjusted Diluted EPS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20"/>
                <w:szCs w:val="20"/>
                <w:color w:val="auto"/>
              </w:rPr>
              <w:t>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11.1 %</w:t>
            </w:r>
          </w:p>
        </w:tc>
      </w:tr>
      <w:tr>
        <w:trPr>
          <w:trHeight w:val="54"/>
        </w:trPr>
        <w:tc>
          <w:tcPr>
            <w:tcW w:w="4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20" w:type="dxa"/>
            <w:vAlign w:val="bottom"/>
          </w:tcPr>
          <w:p>
            <w:pPr>
              <w:spacing w:after="0"/>
              <w:rPr>
                <w:sz w:val="4"/>
                <w:szCs w:val="4"/>
                <w:color w:val="auto"/>
              </w:rPr>
            </w:pPr>
          </w:p>
        </w:tc>
      </w:tr>
    </w:tbl>
    <w:p>
      <w:pPr>
        <w:spacing w:after="0" w:line="54" w:lineRule="exact"/>
        <w:rPr>
          <w:sz w:val="20"/>
          <w:szCs w:val="20"/>
          <w:color w:val="auto"/>
        </w:rPr>
      </w:pPr>
    </w:p>
    <w:p>
      <w:pPr>
        <w:ind w:left="420" w:right="180" w:hanging="250"/>
        <w:spacing w:after="0" w:line="180" w:lineRule="auto"/>
        <w:tabs>
          <w:tab w:leader="none" w:pos="455"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Refer to Note 2 — Summary of Significant Accounting Policies in Item 1 of Part I of this Quarterly Report for a reconciliation of prior year revenue to current year presentation.</w:t>
      </w:r>
    </w:p>
    <w:p>
      <w:pPr>
        <w:spacing w:after="0" w:line="1" w:lineRule="exact"/>
        <w:rPr>
          <w:rFonts w:ascii="Times New Roman" w:cs="Times New Roman" w:eastAsia="Times New Roman" w:hAnsi="Times New Roman"/>
          <w:sz w:val="25"/>
          <w:szCs w:val="25"/>
          <w:color w:val="auto"/>
          <w:vertAlign w:val="superscript"/>
        </w:rPr>
      </w:pPr>
    </w:p>
    <w:p>
      <w:pPr>
        <w:ind w:left="420" w:right="160" w:hanging="250"/>
        <w:spacing w:after="0" w:line="185" w:lineRule="auto"/>
        <w:tabs>
          <w:tab w:leader="none" w:pos="455"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Adjusted EBITDA, Adjusted Net Income, and Adjusted Diluted EPS are non-GAAP financial measures. Please see the section titled "</w:t>
      </w:r>
      <w:r>
        <w:rPr>
          <w:rFonts w:ascii="Times New Roman" w:cs="Times New Roman" w:eastAsia="Times New Roman" w:hAnsi="Times New Roman"/>
          <w:sz w:val="16"/>
          <w:szCs w:val="16"/>
          <w:i w:val="1"/>
          <w:iCs w:val="1"/>
          <w:color w:val="auto"/>
        </w:rPr>
        <w:t>Non-GAAP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Measures</w:t>
      </w:r>
      <w:r>
        <w:rPr>
          <w:rFonts w:ascii="Times New Roman" w:cs="Times New Roman" w:eastAsia="Times New Roman" w:hAnsi="Times New Roman"/>
          <w:sz w:val="16"/>
          <w:szCs w:val="16"/>
          <w:color w:val="auto"/>
        </w:rPr>
        <w:t>" below for a description of these non-GAAP financial measures and a reconciliation to the most comparable GAAP measure, as well as a reconciliation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year Adjusted EBITDA to the current year presentation.</w:t>
      </w:r>
    </w:p>
    <w:p>
      <w:pPr>
        <w:spacing w:after="0" w:line="188" w:lineRule="exact"/>
        <w:rPr>
          <w:sz w:val="20"/>
          <w:szCs w:val="20"/>
          <w:color w:val="auto"/>
        </w:rPr>
      </w:pPr>
    </w:p>
    <w:p>
      <w:pPr>
        <w:jc w:val="both"/>
        <w:ind w:right="220"/>
        <w:spacing w:after="0" w:line="230" w:lineRule="auto"/>
        <w:rPr>
          <w:sz w:val="20"/>
          <w:szCs w:val="20"/>
          <w:color w:val="auto"/>
        </w:rPr>
      </w:pPr>
      <w:r>
        <w:rPr>
          <w:rFonts w:ascii="Times New Roman" w:cs="Times New Roman" w:eastAsia="Times New Roman" w:hAnsi="Times New Roman"/>
          <w:sz w:val="20"/>
          <w:szCs w:val="20"/>
          <w:color w:val="auto"/>
        </w:rPr>
        <w:t>For the three months ended September 30, 2026, we reported Net income of $36.3 million, representing a $9.9 million, or 21.4%, decrease compared to the prior year, and Adjusted EBITDA of $97.1 million, representing a $37.7 million, or 63.5%, increase compared to the prior year.</w:t>
      </w:r>
    </w:p>
    <w:p>
      <w:pPr>
        <w:spacing w:after="0" w:line="17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9"/>
          <w:szCs w:val="19"/>
          <w:color w:val="auto"/>
        </w:rPr>
        <w:t>In our Insurance segment, Income before taxes for the three months ended September 30, 2026 was $48.9 million, representing a $1.9 million decrease from the prior year. This decrease is due to the transition of our business under the Markel Fronting Arrangement, which resulted in</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lower Commission and fee revenue and the recognition of non-cash costs to amortize the remaining deferred ceding commissions for Essentia policies written in 2025. These factors are partially offset by a $78.1 million, or 41.7%, increase in Earned premium, net, reflecting</w:t>
      </w:r>
    </w:p>
    <w:p>
      <w:pPr>
        <w:spacing w:after="0" w:line="211" w:lineRule="auto"/>
        <w:rPr>
          <w:sz w:val="20"/>
          <w:szCs w:val="20"/>
          <w:color w:val="auto"/>
        </w:rPr>
      </w:pPr>
      <w:r>
        <w:rPr>
          <w:rFonts w:ascii="Times New Roman" w:cs="Times New Roman" w:eastAsia="Times New Roman" w:hAnsi="Times New Roman"/>
          <w:sz w:val="20"/>
          <w:szCs w:val="20"/>
          <w:color w:val="auto"/>
        </w:rPr>
        <w:t>the increase to our quota share percentage from 80% to 100% under the Markel Fronting Arrangement, as well as the continued growth of</w:t>
      </w:r>
    </w:p>
    <w:p>
      <w:pPr>
        <w:ind w:right="60"/>
        <w:spacing w:after="0" w:line="215" w:lineRule="auto"/>
        <w:rPr>
          <w:sz w:val="20"/>
          <w:szCs w:val="20"/>
          <w:color w:val="auto"/>
        </w:rPr>
      </w:pPr>
      <w:r>
        <w:rPr>
          <w:rFonts w:ascii="Times New Roman" w:cs="Times New Roman" w:eastAsia="Times New Roman" w:hAnsi="Times New Roman"/>
          <w:sz w:val="19"/>
          <w:szCs w:val="19"/>
          <w:color w:val="auto"/>
        </w:rPr>
        <w:t>that book of business. In addition, the comparison to the prior year is favorably impacted by a $26.0 million reduction to our estimate of losses and loss adjustment expenses for the current accident year recorded in the third quarter of 2026 to reflect continued favorable trends in</w:t>
      </w:r>
    </w:p>
    <w:p>
      <w:pPr>
        <w:spacing w:after="0"/>
        <w:rPr>
          <w:sz w:val="20"/>
          <w:szCs w:val="20"/>
          <w:color w:val="auto"/>
        </w:rPr>
      </w:pPr>
      <w:r>
        <w:rPr>
          <w:rFonts w:ascii="Times New Roman" w:cs="Times New Roman" w:eastAsia="Times New Roman" w:hAnsi="Times New Roman"/>
          <w:sz w:val="20"/>
          <w:szCs w:val="20"/>
          <w:color w:val="auto"/>
        </w:rPr>
        <w:t>auto physical damage losses and better-than expected experience in auto liability losses.</w:t>
      </w:r>
    </w:p>
    <w:p>
      <w:pPr>
        <w:spacing w:after="0" w:line="194"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In our Marketplace segment, Loss before taxes for the three months ended September 30, 2026 was $2.6 million, compared to a loss of $5.6 million in the prior year. The improved Marketplace segment results are principally due to an 84.1% increase in Net Auction Sales from The</w:t>
      </w:r>
    </w:p>
    <w:p>
      <w:pPr>
        <w:spacing w:after="0" w:line="211" w:lineRule="auto"/>
        <w:rPr>
          <w:sz w:val="20"/>
          <w:szCs w:val="20"/>
          <w:color w:val="auto"/>
        </w:rPr>
      </w:pPr>
      <w:r>
        <w:rPr>
          <w:rFonts w:ascii="Times New Roman" w:cs="Times New Roman" w:eastAsia="Times New Roman" w:hAnsi="Times New Roman"/>
          <w:sz w:val="20"/>
          <w:szCs w:val="20"/>
          <w:color w:val="auto"/>
        </w:rPr>
        <w:t>Quail Auction, when compared to the comparable Monterey Car Week auction in the prior year. In addition, our Marketplace segment</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benefited from a significant increase in commissions earned from brokered private sales, as well as an increase in finance revenue due to the growth of the BAC loan portfolio.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Segment</w:t>
      </w:r>
    </w:p>
    <w:p>
      <w:pPr>
        <w:spacing w:after="0" w:line="220"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0"/>
          <w:szCs w:val="20"/>
          <w:color w:val="auto"/>
        </w:rPr>
        <w:t>The following table summarizes Insurance segment results of operations for the three months ended September 30, 2026 and 2025, and the dollar and percentage changes between the two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8"/>
          </w:tcPr>
          <w:p>
            <w:pPr>
              <w:jc w:val="center"/>
              <w:ind w:right="720"/>
              <w:spacing w:after="0"/>
              <w:rPr>
                <w:sz w:val="20"/>
                <w:szCs w:val="20"/>
                <w:color w:val="auto"/>
              </w:rPr>
            </w:pPr>
            <w:r>
              <w:rPr>
                <w:rFonts w:ascii="Times New Roman" w:cs="Times New Roman" w:eastAsia="Times New Roman" w:hAnsi="Times New Roman"/>
                <w:sz w:val="20"/>
                <w:szCs w:val="20"/>
                <w:color w:val="auto"/>
                <w:w w:val="99"/>
              </w:rPr>
              <w:t>Three months ended September 30,</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20"/>
                <w:szCs w:val="20"/>
                <w:color w:val="auto"/>
              </w:rPr>
              <w:t>Change</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9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Segment Results: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8"/>
          </w:tcPr>
          <w:p>
            <w:pPr>
              <w:jc w:val="center"/>
              <w:ind w:right="720"/>
              <w:spacing w:after="0"/>
              <w:rPr>
                <w:sz w:val="20"/>
                <w:szCs w:val="20"/>
                <w:color w:val="auto"/>
              </w:rPr>
            </w:pPr>
            <w:r>
              <w:rPr>
                <w:rFonts w:ascii="Times New Roman" w:cs="Times New Roman" w:eastAsia="Times New Roman" w:hAnsi="Times New Roman"/>
                <w:sz w:val="20"/>
                <w:szCs w:val="20"/>
                <w:i w:val="1"/>
                <w:iCs w:val="1"/>
                <w:color w:val="auto"/>
                <w:w w:val="99"/>
              </w:rPr>
              <w:t>dollars in thousands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265,113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187,039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78,074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21,586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137,103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(115,517)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(84.3)%</w:t>
            </w: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Membership and other revenue</w:t>
            </w:r>
          </w:p>
        </w:tc>
        <w:tc>
          <w:tcPr>
            <w:tcW w:w="300" w:type="dxa"/>
            <w:vAlign w:val="bottom"/>
          </w:tcPr>
          <w:p>
            <w:pPr>
              <w:spacing w:after="0"/>
              <w:rPr>
                <w:sz w:val="22"/>
                <w:szCs w:val="22"/>
                <w:color w:val="auto"/>
              </w:rPr>
            </w:pP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21,908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21,496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412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12,284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9,860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2,424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24.6 %</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751</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1,271</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(520)</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321,642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356,769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(35,127)</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90,261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78,626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11,635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14.8 %</w:t>
            </w:r>
          </w:p>
        </w:tc>
        <w:tc>
          <w:tcPr>
            <w:tcW w:w="0" w:type="dxa"/>
            <w:vAlign w:val="bottom"/>
          </w:tcPr>
          <w:p>
            <w:pPr>
              <w:spacing w:after="0"/>
              <w:rPr>
                <w:sz w:val="1"/>
                <w:szCs w:val="1"/>
                <w:color w:val="auto"/>
              </w:rPr>
            </w:pPr>
          </w:p>
        </w:tc>
      </w:tr>
      <w:tr>
        <w:trPr>
          <w:trHeight w:val="256"/>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300" w:type="dxa"/>
            <w:vAlign w:val="bottom"/>
          </w:tcPr>
          <w:p>
            <w:pPr>
              <w:spacing w:after="0"/>
              <w:rPr>
                <w:sz w:val="22"/>
                <w:szCs w:val="22"/>
                <w:color w:val="auto"/>
              </w:rPr>
            </w:pP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62,214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87,411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(25,197)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66,716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1,500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65,216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00" w:type="dxa"/>
            <w:vAlign w:val="bottom"/>
          </w:tcPr>
          <w:p>
            <w:pPr>
              <w:spacing w:after="0"/>
              <w:rPr>
                <w:sz w:val="22"/>
                <w:szCs w:val="22"/>
                <w:color w:val="auto"/>
              </w:rPr>
            </w:pP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54,575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137,367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(82,792)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(1,007)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1,067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(2,074)</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(194.4)%</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Total expenses</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272,759</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305,971</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(33,212)</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7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BEFORE TAXES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48,883</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50,798</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(1,915)</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Written Premium</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385,972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334,048</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51,924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Assumed Premium</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306,495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217,883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88,612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40.7 %</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Hagerty Re Loss Ratio</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32.6 %</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42.0 %</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Hagerty Re Combined Ratio</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 xml:space="preserve">New Business Count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Insurance</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123,321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114,513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8,808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7.7 %</w:t>
            </w:r>
          </w:p>
        </w:tc>
        <w:tc>
          <w:tcPr>
            <w:tcW w:w="0" w:type="dxa"/>
            <w:vAlign w:val="bottom"/>
          </w:tcPr>
          <w:p>
            <w:pPr>
              <w:spacing w:after="0"/>
              <w:rPr>
                <w:sz w:val="1"/>
                <w:szCs w:val="1"/>
                <w:color w:val="auto"/>
              </w:rPr>
            </w:pPr>
          </w:p>
        </w:tc>
      </w:tr>
      <w:tr>
        <w:trPr>
          <w:trHeight w:val="374"/>
        </w:trPr>
        <w:tc>
          <w:tcPr>
            <w:tcW w:w="4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left="741"/>
              <w:spacing w:after="0"/>
              <w:rPr>
                <w:sz w:val="20"/>
                <w:szCs w:val="20"/>
                <w:color w:val="auto"/>
              </w:rPr>
            </w:pPr>
            <w:r>
              <w:rPr>
                <w:rFonts w:ascii="Times New Roman" w:cs="Times New Roman" w:eastAsia="Times New Roman" w:hAnsi="Times New Roman"/>
                <w:sz w:val="20"/>
                <w:szCs w:val="20"/>
                <w:color w:val="auto"/>
                <w:w w:val="98"/>
              </w:rPr>
              <w:t>September 30,</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20"/>
                <w:szCs w:val="20"/>
                <w:color w:val="auto"/>
              </w:rPr>
              <w:t>Change</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9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Policies in Force</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1,909,254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1,617,231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292,023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18.1 %</w:t>
            </w: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Policies in Force Retention</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Vehicles in Force</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3,105,819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2,739,037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366,782</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13.4 %</w:t>
            </w:r>
          </w:p>
        </w:tc>
        <w:tc>
          <w:tcPr>
            <w:tcW w:w="0" w:type="dxa"/>
            <w:vAlign w:val="bottom"/>
          </w:tcPr>
          <w:p>
            <w:pPr>
              <w:spacing w:after="0"/>
              <w:rPr>
                <w:sz w:val="1"/>
                <w:szCs w:val="1"/>
                <w:color w:val="auto"/>
              </w:rPr>
            </w:pPr>
          </w:p>
        </w:tc>
      </w:tr>
      <w:tr>
        <w:trPr>
          <w:trHeight w:val="258"/>
        </w:trPr>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HDC Paid Member Count</w:t>
            </w:r>
          </w:p>
        </w:tc>
        <w:tc>
          <w:tcPr>
            <w:tcW w:w="30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977,456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920,725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56,731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2974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discussed in greater detail above under "</w:t>
      </w:r>
      <w:r>
        <w:rPr>
          <w:rFonts w:ascii="Times New Roman" w:cs="Times New Roman" w:eastAsia="Times New Roman" w:hAnsi="Times New Roman"/>
          <w:sz w:val="19"/>
          <w:szCs w:val="19"/>
          <w:i w:val="1"/>
          <w:iCs w:val="1"/>
          <w:color w:val="auto"/>
        </w:rPr>
        <w:t>Markel Fronting Arrangement</w:t>
      </w:r>
      <w:r>
        <w:rPr>
          <w:rFonts w:ascii="Times New Roman" w:cs="Times New Roman" w:eastAsia="Times New Roman" w:hAnsi="Times New Roman"/>
          <w:sz w:val="19"/>
          <w:szCs w:val="19"/>
          <w:color w:val="auto"/>
        </w:rPr>
        <w:t>", due to the expanded underwriting and claims authority granted to us under the Markel Fronting Arrangement, we now control the Essentia book of business. While our U.S. MGA subsidiary and Hagerty Re</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continue to operate in the same manner they have historically, beginning on January 1, 2026, the benefit of our MGA services is being received by Hagerty Re and not Essentia. As a result, effective in the first quarter of 2026, we are no longer recognizing commission revenue</w:t>
      </w:r>
    </w:p>
    <w:p>
      <w:pPr>
        <w:spacing w:after="0" w:line="222" w:lineRule="auto"/>
        <w:rPr>
          <w:sz w:val="20"/>
          <w:szCs w:val="20"/>
          <w:color w:val="auto"/>
        </w:rPr>
      </w:pPr>
      <w:r>
        <w:rPr>
          <w:rFonts w:ascii="Times New Roman" w:cs="Times New Roman" w:eastAsia="Times New Roman" w:hAnsi="Times New Roman"/>
          <w:sz w:val="19"/>
          <w:szCs w:val="19"/>
          <w:color w:val="auto"/>
        </w:rPr>
        <w:t>or the associated ceding commission expense for Essentia-originated policies in our Condensed Consolidated Financial Statements. However,</w:t>
      </w:r>
    </w:p>
    <w:p>
      <w:pPr>
        <w:ind w:right="200"/>
        <w:spacing w:after="0" w:line="215" w:lineRule="auto"/>
        <w:rPr>
          <w:sz w:val="20"/>
          <w:szCs w:val="20"/>
          <w:color w:val="auto"/>
        </w:rPr>
      </w:pPr>
      <w:r>
        <w:rPr>
          <w:rFonts w:ascii="Times New Roman" w:cs="Times New Roman" w:eastAsia="Times New Roman" w:hAnsi="Times New Roman"/>
          <w:sz w:val="19"/>
          <w:szCs w:val="19"/>
          <w:color w:val="auto"/>
        </w:rPr>
        <w:t>ceding commission expense associated with Essentia policies issued in 2025 is continuing to be recognized ratably over the remaining term of those policies throughout 2026. In addition, policy acquisition costs incurred by our U.S. MGA subsidiary for Essentia policies issued in</w:t>
      </w:r>
    </w:p>
    <w:p>
      <w:pPr>
        <w:ind w:right="260"/>
        <w:spacing w:after="0" w:line="234" w:lineRule="exact"/>
        <w:rPr>
          <w:sz w:val="20"/>
          <w:szCs w:val="20"/>
          <w:color w:val="auto"/>
        </w:rPr>
      </w:pPr>
      <w:r>
        <w:rPr>
          <w:rFonts w:ascii="Times New Roman" w:cs="Times New Roman" w:eastAsia="Times New Roman" w:hAnsi="Times New Roman"/>
          <w:sz w:val="20"/>
          <w:szCs w:val="20"/>
          <w:color w:val="auto"/>
        </w:rPr>
        <w:t>2026 are being deferred and amortized over the policy term. Accordingly, our entry into the Markel Fronting Arrangement has reduced the period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period comparability of our Condensed Consolidated Financial Statements.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standalone results of operations for our Hagerty Re and MGA+ reporting units for the</w:t>
      </w:r>
    </w:p>
    <w:p>
      <w:pPr>
        <w:ind w:right="280"/>
        <w:spacing w:after="0" w:line="215" w:lineRule="auto"/>
        <w:rPr>
          <w:sz w:val="20"/>
          <w:szCs w:val="20"/>
          <w:color w:val="auto"/>
        </w:rPr>
      </w:pPr>
      <w:r>
        <w:rPr>
          <w:rFonts w:ascii="Times New Roman" w:cs="Times New Roman" w:eastAsia="Times New Roman" w:hAnsi="Times New Roman"/>
          <w:sz w:val="19"/>
          <w:szCs w:val="19"/>
          <w:color w:val="auto"/>
        </w:rPr>
        <w:t>three months ended September 30, 2026, which reflect the continuing operations of those businesses, to total Insurance segment results of operations included in our Condensed Consolidated Statements of Operations. This table is presented solely to improve the year-over-year</w:t>
      </w:r>
    </w:p>
    <w:p>
      <w:pPr>
        <w:ind w:right="420"/>
        <w:spacing w:after="0" w:line="228" w:lineRule="auto"/>
        <w:rPr>
          <w:sz w:val="20"/>
          <w:szCs w:val="20"/>
          <w:color w:val="auto"/>
        </w:rPr>
      </w:pPr>
      <w:r>
        <w:rPr>
          <w:rFonts w:ascii="Times New Roman" w:cs="Times New Roman" w:eastAsia="Times New Roman" w:hAnsi="Times New Roman"/>
          <w:sz w:val="20"/>
          <w:szCs w:val="20"/>
          <w:color w:val="auto"/>
        </w:rPr>
        <w:t>comparability of our financial statements and should not be viewed on a standalone basis. It should be read together with our Condensed Consolidated Statements of Operations and the accompanying notes.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Three months ended September 30, 2026</w:t>
            </w: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w w:val="99"/>
              </w:rPr>
              <w:t>Hagerty Re: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color w:val="auto"/>
              </w:rPr>
              <w:t>Hagerty Re: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w w:val="99"/>
              </w:rPr>
              <w:t>Essentia Policy</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Consolidation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14"/>
                <w:szCs w:val="14"/>
                <w:color w:val="auto"/>
              </w:rPr>
            </w:pPr>
          </w:p>
        </w:tc>
        <w:tc>
          <w:tcPr>
            <w:tcW w:w="130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Essentia Policy</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7"/>
                <w:szCs w:val="17"/>
                <w:color w:val="auto"/>
                <w:w w:val="99"/>
              </w:rPr>
              <w:t>Year 2026 &amp;</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w w:val="99"/>
              </w:rPr>
              <w:t>Hagerty Re Total</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rPr>
              <w:t xml:space="preserve">MGA+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line="230" w:lineRule="exact"/>
              <w:rPr>
                <w:sz w:val="20"/>
                <w:szCs w:val="20"/>
                <w:color w:val="auto"/>
              </w:rPr>
            </w:pPr>
            <w:r>
              <w:rPr>
                <w:rFonts w:ascii="Times New Roman" w:cs="Times New Roman" w:eastAsia="Times New Roman" w:hAnsi="Times New Roman"/>
                <w:sz w:val="17"/>
                <w:szCs w:val="17"/>
                <w:color w:val="auto"/>
                <w:w w:val="92"/>
              </w:rPr>
              <w:t xml:space="preserve">Year 2025 </w:t>
            </w:r>
            <w:r>
              <w:rPr>
                <w:rFonts w:ascii="Times New Roman" w:cs="Times New Roman" w:eastAsia="Times New Roman" w:hAnsi="Times New Roman"/>
                <w:sz w:val="23"/>
                <w:szCs w:val="23"/>
                <w:color w:val="auto"/>
                <w:w w:val="92"/>
                <w:vertAlign w:val="superscript"/>
              </w:rPr>
              <w:t>(a)</w:t>
            </w:r>
          </w:p>
        </w:tc>
        <w:tc>
          <w:tcPr>
            <w:tcW w:w="8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7"/>
                <w:szCs w:val="17"/>
                <w:color w:val="auto"/>
                <w:w w:val="96"/>
              </w:rPr>
              <w:t xml:space="preserve">Other Carriers </w:t>
            </w:r>
            <w:r>
              <w:rPr>
                <w:rFonts w:ascii="Times New Roman" w:cs="Times New Roman" w:eastAsia="Times New Roman" w:hAnsi="Times New Roman"/>
                <w:sz w:val="23"/>
                <w:szCs w:val="23"/>
                <w:color w:val="auto"/>
                <w:w w:val="96"/>
                <w:vertAlign w:val="superscript"/>
              </w:rPr>
              <w:t>(b)</w:t>
            </w:r>
          </w:p>
        </w:tc>
        <w:tc>
          <w:tcPr>
            <w:tcW w:w="80" w:type="dxa"/>
            <w:vAlign w:val="bottom"/>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Entries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Segment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gridSpan w:val="4"/>
          </w:tcPr>
          <w:p>
            <w:pPr>
              <w:jc w:val="right"/>
              <w:ind w:right="475"/>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Earned premium,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265,113</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Commission and fee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159,503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275"/>
              <w:spacing w:after="0" w:line="230" w:lineRule="exact"/>
              <w:rPr>
                <w:sz w:val="20"/>
                <w:szCs w:val="20"/>
                <w:color w:val="auto"/>
              </w:rPr>
            </w:pPr>
            <w:r>
              <w:rPr>
                <w:rFonts w:ascii="Times New Roman" w:cs="Times New Roman" w:eastAsia="Times New Roman" w:hAnsi="Times New Roman"/>
                <w:sz w:val="17"/>
                <w:szCs w:val="17"/>
                <w:color w:val="auto"/>
              </w:rPr>
              <w:t xml:space="preserve">(137,917) </w:t>
            </w:r>
            <w:r>
              <w:rPr>
                <w:rFonts w:ascii="Times New Roman" w:cs="Times New Roman" w:eastAsia="Times New Roman" w:hAnsi="Times New Roman"/>
                <w:sz w:val="23"/>
                <w:szCs w:val="23"/>
                <w:color w:val="auto"/>
                <w:vertAlign w:val="superscript"/>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Membership and other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21,908</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21,908</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investment income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investment gains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276,844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182,715</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(137,917)</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321,642</w:t>
            </w:r>
          </w:p>
        </w:tc>
        <w:tc>
          <w:tcPr>
            <w:tcW w:w="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Losses and loss adjustment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86,463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3,798</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2"/>
                <w:szCs w:val="12"/>
                <w:color w:val="auto"/>
                <w:w w:val="99"/>
              </w:rPr>
              <w:t>(d)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90,261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 net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Policy acquisition costs, net: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Ceding commission expense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275"/>
              <w:spacing w:after="0" w:line="230" w:lineRule="exact"/>
              <w:rPr>
                <w:sz w:val="20"/>
                <w:szCs w:val="20"/>
                <w:color w:val="auto"/>
              </w:rPr>
            </w:pPr>
            <w:r>
              <w:rPr>
                <w:rFonts w:ascii="Times New Roman" w:cs="Times New Roman" w:eastAsia="Times New Roman" w:hAnsi="Times New Roman"/>
                <w:sz w:val="17"/>
                <w:szCs w:val="17"/>
                <w:color w:val="auto"/>
              </w:rPr>
              <w:t xml:space="preserve">(81,157) </w:t>
            </w:r>
            <w:r>
              <w:rPr>
                <w:rFonts w:ascii="Times New Roman" w:cs="Times New Roman" w:eastAsia="Times New Roman" w:hAnsi="Times New Roman"/>
                <w:sz w:val="23"/>
                <w:szCs w:val="23"/>
                <w:color w:val="auto"/>
                <w:vertAlign w:val="superscript"/>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policy acquisition costs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20,119</w:t>
            </w:r>
          </w:p>
        </w:tc>
        <w:tc>
          <w:tcPr>
            <w:tcW w:w="52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2"/>
                <w:szCs w:val="12"/>
                <w:color w:val="auto"/>
                <w:w w:val="99"/>
              </w:rPr>
              <w:t>(f)</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Underwriting and other insurance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95,884</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2"/>
                <w:szCs w:val="12"/>
                <w:color w:val="auto"/>
                <w:w w:val="99"/>
              </w:rPr>
              <w:t>(d)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(30,816)</w:t>
            </w:r>
          </w:p>
        </w:tc>
        <w:tc>
          <w:tcPr>
            <w:tcW w:w="520" w:type="dxa"/>
            <w:vAlign w:val="bottom"/>
            <w:gridSpan w:val="2"/>
          </w:tcPr>
          <w:p>
            <w:pPr>
              <w:jc w:val="right"/>
              <w:ind w:right="295"/>
              <w:spacing w:after="0"/>
              <w:rPr>
                <w:sz w:val="20"/>
                <w:szCs w:val="20"/>
                <w:color w:val="auto"/>
              </w:rPr>
            </w:pPr>
            <w:r>
              <w:rPr>
                <w:rFonts w:ascii="Times New Roman" w:cs="Times New Roman" w:eastAsia="Times New Roman" w:hAnsi="Times New Roman"/>
                <w:sz w:val="12"/>
                <w:szCs w:val="12"/>
                <w:color w:val="auto"/>
                <w:w w:val="99"/>
              </w:rPr>
              <w:t>(f)</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66,716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54,575</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54,575</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154,272</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(91,854)</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272,759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BEFORE TAXES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66,503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28,443</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(46,063)</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48,883</w:t>
            </w:r>
          </w:p>
        </w:tc>
        <w:tc>
          <w:tcPr>
            <w:tcW w:w="320" w:type="dxa"/>
            <w:vAlign w:val="bottom"/>
          </w:tcPr>
          <w:p>
            <w:pPr>
              <w:ind w:left="20"/>
              <w:spacing w:after="0" w:line="130" w:lineRule="exact"/>
              <w:rPr>
                <w:sz w:val="20"/>
                <w:szCs w:val="20"/>
                <w:color w:val="auto"/>
              </w:rPr>
            </w:pPr>
            <w:r>
              <w:rPr>
                <w:rFonts w:ascii="Times New Roman" w:cs="Times New Roman" w:eastAsia="Times New Roman" w:hAnsi="Times New Roman"/>
                <w:sz w:val="12"/>
                <w:szCs w:val="12"/>
                <w:color w:val="auto"/>
              </w:rPr>
              <w:t>(g)</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40" w:hanging="270"/>
        <w:spacing w:after="0" w:line="198" w:lineRule="auto"/>
        <w:tabs>
          <w:tab w:leader="none" w:pos="44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Hagerty Re's earned premium and associated policy acquisition costs related to Essentia policies issued in 2025.</w:t>
      </w:r>
    </w:p>
    <w:p>
      <w:pPr>
        <w:ind w:left="440" w:hanging="270"/>
        <w:spacing w:after="0" w:line="183" w:lineRule="auto"/>
        <w:tabs>
          <w:tab w:leader="none" w:pos="44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Represents Hagerty Re's earned premium and associated policy acquisition costs related to Essentia policies issued in 2026 and through other carriers.</w:t>
      </w:r>
    </w:p>
    <w:p>
      <w:pPr>
        <w:ind w:left="440" w:hanging="270"/>
        <w:spacing w:after="0" w:line="182" w:lineRule="auto"/>
        <w:tabs>
          <w:tab w:leader="none" w:pos="44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MGA+ reporting unit includes our MGA operations, as well as our membership, events, and media activities.</w:t>
      </w:r>
    </w:p>
    <w:p>
      <w:pPr>
        <w:spacing w:after="0" w:line="10" w:lineRule="exact"/>
        <w:rPr>
          <w:rFonts w:ascii="Times New Roman" w:cs="Times New Roman" w:eastAsia="Times New Roman" w:hAnsi="Times New Roman"/>
          <w:sz w:val="22"/>
          <w:szCs w:val="22"/>
          <w:color w:val="auto"/>
          <w:vertAlign w:val="superscript"/>
        </w:rPr>
      </w:pPr>
    </w:p>
    <w:p>
      <w:pPr>
        <w:ind w:left="420" w:right="60" w:hanging="250"/>
        <w:spacing w:after="0" w:line="187" w:lineRule="auto"/>
        <w:tabs>
          <w:tab w:leader="none" w:pos="455"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spacing w:after="0" w:line="2" w:lineRule="exact"/>
        <w:rPr>
          <w:rFonts w:ascii="Times New Roman" w:cs="Times New Roman" w:eastAsia="Times New Roman" w:hAnsi="Times New Roman"/>
          <w:sz w:val="24"/>
          <w:szCs w:val="24"/>
          <w:color w:val="auto"/>
          <w:vertAlign w:val="superscript"/>
        </w:rPr>
      </w:pPr>
    </w:p>
    <w:p>
      <w:pPr>
        <w:ind w:left="420" w:right="120" w:hanging="250"/>
        <w:spacing w:after="0"/>
        <w:tabs>
          <w:tab w:leader="none" w:pos="448"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These consolidation entries are made to eliminate intercompany commission revenue and ceding commission expense between the Hagerty Re and MGA+ reporting units.</w:t>
      </w:r>
    </w:p>
    <w:p>
      <w:pPr>
        <w:spacing w:after="0" w:line="61" w:lineRule="exact"/>
        <w:rPr>
          <w:rFonts w:ascii="Times New Roman" w:cs="Times New Roman" w:eastAsia="Times New Roman" w:hAnsi="Times New Roman"/>
          <w:sz w:val="24"/>
          <w:szCs w:val="24"/>
          <w:color w:val="auto"/>
          <w:vertAlign w:val="superscript"/>
        </w:rPr>
      </w:pPr>
    </w:p>
    <w:p>
      <w:pPr>
        <w:jc w:val="both"/>
        <w:ind w:left="420" w:right="100" w:hanging="250"/>
        <w:spacing w:after="0" w:line="187" w:lineRule="auto"/>
        <w:tabs>
          <w:tab w:leader="none" w:pos="434"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These consolidation entries are made to defer $30.8 million in policy acquisition costs incurred by the MGA+ reporting unit in their standalone results of operations, which are then amortized over the underlying policy term in our Condensed Consolidated Statements of Operations. For the three months ended September 30, 2026, the amortization of such deferred policy acquisition costs totaled $20.1 million.</w:t>
      </w:r>
    </w:p>
    <w:p>
      <w:pPr>
        <w:spacing w:after="0" w:line="2" w:lineRule="exact"/>
        <w:rPr>
          <w:rFonts w:ascii="Times New Roman" w:cs="Times New Roman" w:eastAsia="Times New Roman" w:hAnsi="Times New Roman"/>
          <w:sz w:val="24"/>
          <w:szCs w:val="24"/>
          <w:color w:val="auto"/>
          <w:vertAlign w:val="superscript"/>
        </w:rPr>
      </w:pPr>
    </w:p>
    <w:p>
      <w:pPr>
        <w:ind w:left="420" w:right="420" w:hanging="250"/>
        <w:spacing w:after="0" w:line="182" w:lineRule="auto"/>
        <w:tabs>
          <w:tab w:leader="none" w:pos="455"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Refer to Note 5 — Segment Reporting and Disaggregated Revenue in Item 1 of Part I of this Quarterly Report for a reconciliation of Insurance segment Income before taxes to consolidated Income before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Earned premium, net</w:t>
      </w:r>
    </w:p>
    <w:p>
      <w:pPr>
        <w:spacing w:after="0" w:line="206"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9"/>
          <w:szCs w:val="19"/>
          <w:color w:val="auto"/>
        </w:rPr>
        <w:t>Earned premium, net was $265.1 million for the three months ended September 30, 2026, an increase of $78.1 million, or 41.7%, compared to 2025. This increase is primarily driven by our entry into the Markel Fronting Arrangement, which became effective January 1, 2026 and</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auto"/>
        </w:rPr>
        <w:t>increased Hagerty Re's U.S. quota share from approximately 80% to 100%, including for in-force policies written in 2025. To a lesser extent, the increase is driven by growth in subject premiums written through our MGA subsidiaries.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premiums assumed and earned, as well as the related quota share percentages for the three months ended</w:t>
      </w:r>
    </w:p>
    <w:p>
      <w:pPr>
        <w:spacing w:after="0"/>
        <w:rPr>
          <w:sz w:val="20"/>
          <w:szCs w:val="20"/>
          <w:color w:val="auto"/>
        </w:rPr>
      </w:pPr>
      <w:r>
        <w:rPr>
          <w:rFonts w:ascii="Times New Roman" w:cs="Times New Roman" w:eastAsia="Times New Roman" w:hAnsi="Times New Roman"/>
          <w:sz w:val="20"/>
          <w:szCs w:val="20"/>
          <w:color w:val="auto"/>
        </w:rPr>
        <w:t>September 30, 2026 and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9"/>
          </w:tcPr>
          <w:p>
            <w:pPr>
              <w:jc w:val="center"/>
              <w:ind w:right="61"/>
              <w:spacing w:after="0"/>
              <w:rPr>
                <w:sz w:val="20"/>
                <w:szCs w:val="20"/>
                <w:color w:val="auto"/>
              </w:rPr>
            </w:pPr>
            <w:r>
              <w:rPr>
                <w:rFonts w:ascii="Times New Roman" w:cs="Times New Roman" w:eastAsia="Times New Roman" w:hAnsi="Times New Roman"/>
                <w:sz w:val="20"/>
                <w:szCs w:val="20"/>
                <w:color w:val="auto"/>
                <w:w w:val="99"/>
              </w:rPr>
              <w:t>Three months ended September 30, 2026</w:t>
            </w:r>
          </w:p>
        </w:tc>
        <w:tc>
          <w:tcPr>
            <w:tcW w:w="1140" w:type="dxa"/>
            <w:vAlign w:val="bottom"/>
            <w:tcBorders>
              <w:bottom w:val="single" w:sz="8" w:color="auto"/>
            </w:tcBorders>
          </w:tcPr>
          <w:p>
            <w:pPr>
              <w:spacing w:after="0"/>
              <w:rPr>
                <w:sz w:val="22"/>
                <w:szCs w:val="22"/>
                <w:color w:val="auto"/>
              </w:rPr>
            </w:pPr>
          </w:p>
        </w:tc>
      </w:tr>
      <w:tr>
        <w:trPr>
          <w:trHeight w:val="254"/>
        </w:trPr>
        <w:tc>
          <w:tcPr>
            <w:tcW w:w="4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U.S.</w:t>
            </w:r>
          </w:p>
        </w:tc>
        <w:tc>
          <w:tcPr>
            <w:tcW w:w="1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Canada</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40"/>
              <w:spacing w:after="0" w:line="253" w:lineRule="exact"/>
              <w:rPr>
                <w:sz w:val="20"/>
                <w:szCs w:val="20"/>
                <w:color w:val="auto"/>
              </w:rPr>
            </w:pPr>
            <w:r>
              <w:rPr>
                <w:rFonts w:ascii="Times New Roman" w:cs="Times New Roman" w:eastAsia="Times New Roman" w:hAnsi="Times New Roman"/>
                <w:sz w:val="20"/>
                <w:szCs w:val="20"/>
                <w:color w:val="auto"/>
              </w:rPr>
              <w:t xml:space="preserve">U.K.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jc w:val="center"/>
              <w:ind w:right="20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0"/>
        </w:trPr>
        <w:tc>
          <w:tcPr>
            <w:tcW w:w="5220" w:type="dxa"/>
            <w:vAlign w:val="bottom"/>
            <w:gridSpan w:val="2"/>
            <w:shd w:val="clear" w:color="auto" w:fill="CCEEFF"/>
          </w:tcPr>
          <w:p>
            <w:pPr>
              <w:ind w:left="20"/>
              <w:spacing w:after="0" w:line="260" w:lineRule="exact"/>
              <w:rPr>
                <w:sz w:val="20"/>
                <w:szCs w:val="20"/>
                <w:color w:val="auto"/>
              </w:rPr>
            </w:pPr>
            <w:r>
              <w:rPr>
                <w:rFonts w:ascii="Times New Roman" w:cs="Times New Roman" w:eastAsia="Times New Roman" w:hAnsi="Times New Roman"/>
                <w:sz w:val="20"/>
                <w:szCs w:val="20"/>
                <w:color w:val="auto"/>
              </w:rPr>
              <w:t xml:space="preserve">Subject premium </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321,232</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21,891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343,123</w:t>
            </w:r>
          </w:p>
        </w:tc>
      </w:tr>
      <w:tr>
        <w:trPr>
          <w:trHeight w:val="25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Quota share percentage</w:t>
            </w:r>
          </w:p>
        </w:tc>
        <w:tc>
          <w:tcPr>
            <w:tcW w:w="3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 %</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96.8 %</w:t>
            </w:r>
          </w:p>
        </w:tc>
      </w:tr>
      <w:tr>
        <w:trPr>
          <w:trHeight w:val="250"/>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Assumed premium</w:t>
            </w:r>
          </w:p>
        </w:tc>
        <w:tc>
          <w:tcPr>
            <w:tcW w:w="3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321,232</w:t>
            </w:r>
          </w:p>
        </w:tc>
        <w:tc>
          <w:tcPr>
            <w:tcW w:w="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10,945</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332,177</w:t>
            </w:r>
          </w:p>
        </w:tc>
      </w:tr>
      <w:tr>
        <w:trPr>
          <w:trHeight w:val="256"/>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Reinsurance premiums ceded</w:t>
            </w:r>
          </w:p>
        </w:tc>
        <w:tc>
          <w:tcPr>
            <w:tcW w:w="3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(25,682)</w:t>
            </w:r>
          </w:p>
        </w:tc>
      </w:tr>
      <w:tr>
        <w:trPr>
          <w:trHeight w:val="25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assumed premium</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306,495</w:t>
            </w:r>
          </w:p>
        </w:tc>
      </w:tr>
      <w:tr>
        <w:trPr>
          <w:trHeight w:val="25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Change in unearned premiums</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(44,559)</w:t>
            </w:r>
          </w:p>
        </w:tc>
      </w:tr>
      <w:tr>
        <w:trPr>
          <w:trHeight w:val="25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deferred reinsurance premiums</w:t>
            </w: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3,177</w:t>
            </w:r>
          </w:p>
        </w:tc>
      </w:tr>
      <w:tr>
        <w:trPr>
          <w:trHeight w:val="250"/>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265,113</w:t>
            </w:r>
          </w:p>
        </w:tc>
      </w:tr>
      <w:tr>
        <w:trPr>
          <w:trHeight w:val="20"/>
        </w:trPr>
        <w:tc>
          <w:tcPr>
            <w:tcW w:w="4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ind w:left="440" w:hanging="270"/>
        <w:spacing w:after="0" w:line="209" w:lineRule="auto"/>
        <w:tabs>
          <w:tab w:leader="none" w:pos="440"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2026, we did not reinsure classic auto risks produced by our U.K. MGA subsidiary, and the prior book of business is in run-off.</w:t>
      </w:r>
    </w:p>
    <w:p>
      <w:pPr>
        <w:ind w:left="440" w:hanging="270"/>
        <w:spacing w:after="0" w:line="182" w:lineRule="auto"/>
        <w:tabs>
          <w:tab w:leader="none" w:pos="44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the portion of total written premium subject to reinsurance agreements.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9"/>
          </w:tcPr>
          <w:p>
            <w:pPr>
              <w:jc w:val="center"/>
              <w:ind w:right="61"/>
              <w:spacing w:after="0"/>
              <w:rPr>
                <w:sz w:val="20"/>
                <w:szCs w:val="20"/>
                <w:color w:val="auto"/>
              </w:rPr>
            </w:pPr>
            <w:r>
              <w:rPr>
                <w:rFonts w:ascii="Times New Roman" w:cs="Times New Roman" w:eastAsia="Times New Roman" w:hAnsi="Times New Roman"/>
                <w:sz w:val="20"/>
                <w:szCs w:val="20"/>
                <w:color w:val="auto"/>
                <w:w w:val="99"/>
              </w:rPr>
              <w:t>Three months ended September 30, 2025</w:t>
            </w:r>
          </w:p>
        </w:tc>
        <w:tc>
          <w:tcPr>
            <w:tcW w:w="1140" w:type="dxa"/>
            <w:vAlign w:val="bottom"/>
            <w:tcBorders>
              <w:bottom w:val="single" w:sz="8" w:color="auto"/>
            </w:tcBorders>
          </w:tcPr>
          <w:p>
            <w:pPr>
              <w:spacing w:after="0"/>
              <w:rPr>
                <w:sz w:val="22"/>
                <w:szCs w:val="22"/>
                <w:color w:val="auto"/>
              </w:rPr>
            </w:pPr>
          </w:p>
        </w:tc>
      </w:tr>
      <w:tr>
        <w:trPr>
          <w:trHeight w:val="254"/>
        </w:trPr>
        <w:tc>
          <w:tcPr>
            <w:tcW w:w="4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U.S.</w:t>
            </w:r>
          </w:p>
        </w:tc>
        <w:tc>
          <w:tcPr>
            <w:tcW w:w="1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Canada</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40"/>
              <w:spacing w:after="0" w:line="253" w:lineRule="exact"/>
              <w:rPr>
                <w:sz w:val="20"/>
                <w:szCs w:val="20"/>
                <w:color w:val="auto"/>
              </w:rPr>
            </w:pPr>
            <w:r>
              <w:rPr>
                <w:rFonts w:ascii="Times New Roman" w:cs="Times New Roman" w:eastAsia="Times New Roman" w:hAnsi="Times New Roman"/>
                <w:sz w:val="20"/>
                <w:szCs w:val="20"/>
                <w:color w:val="auto"/>
              </w:rPr>
              <w:t xml:space="preserve">U.K.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jc w:val="center"/>
              <w:ind w:right="20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0"/>
        </w:trPr>
        <w:tc>
          <w:tcPr>
            <w:tcW w:w="5220" w:type="dxa"/>
            <w:vAlign w:val="bottom"/>
            <w:gridSpan w:val="2"/>
            <w:shd w:val="clear" w:color="auto" w:fill="CCEEFF"/>
          </w:tcPr>
          <w:p>
            <w:pPr>
              <w:ind w:left="20"/>
              <w:spacing w:after="0" w:line="260" w:lineRule="exact"/>
              <w:rPr>
                <w:sz w:val="20"/>
                <w:szCs w:val="20"/>
                <w:color w:val="auto"/>
              </w:rPr>
            </w:pPr>
            <w:r>
              <w:rPr>
                <w:rFonts w:ascii="Times New Roman" w:cs="Times New Roman" w:eastAsia="Times New Roman" w:hAnsi="Times New Roman"/>
                <w:sz w:val="20"/>
                <w:szCs w:val="20"/>
                <w:color w:val="auto"/>
              </w:rPr>
              <w:t xml:space="preserve">Subject premium </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271,043</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19,532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290,575</w:t>
            </w:r>
          </w:p>
        </w:tc>
      </w:tr>
      <w:tr>
        <w:trPr>
          <w:trHeight w:val="25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Quota share percentage</w:t>
            </w:r>
          </w:p>
        </w:tc>
        <w:tc>
          <w:tcPr>
            <w:tcW w:w="3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 %</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78.8 %</w:t>
            </w:r>
          </w:p>
        </w:tc>
      </w:tr>
      <w:tr>
        <w:trPr>
          <w:trHeight w:val="250"/>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Assumed premium</w:t>
            </w:r>
          </w:p>
        </w:tc>
        <w:tc>
          <w:tcPr>
            <w:tcW w:w="3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219,116</w:t>
            </w:r>
          </w:p>
        </w:tc>
        <w:tc>
          <w:tcPr>
            <w:tcW w:w="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9,766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228,882</w:t>
            </w:r>
          </w:p>
        </w:tc>
      </w:tr>
      <w:tr>
        <w:trPr>
          <w:trHeight w:val="256"/>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Reinsurance premiums ceded</w:t>
            </w:r>
          </w:p>
        </w:tc>
        <w:tc>
          <w:tcPr>
            <w:tcW w:w="3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(10,999)</w:t>
            </w:r>
          </w:p>
        </w:tc>
      </w:tr>
      <w:tr>
        <w:trPr>
          <w:trHeight w:val="25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assumed premium</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217,883</w:t>
            </w:r>
          </w:p>
        </w:tc>
      </w:tr>
      <w:tr>
        <w:trPr>
          <w:trHeight w:val="25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Change in unearned premiums</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(29,202)</w:t>
            </w:r>
          </w:p>
        </w:tc>
      </w:tr>
      <w:tr>
        <w:trPr>
          <w:trHeight w:val="25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deferred reinsurance premiums</w:t>
            </w: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(1,642)</w:t>
            </w:r>
          </w:p>
        </w:tc>
      </w:tr>
      <w:tr>
        <w:trPr>
          <w:trHeight w:val="250"/>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187,039</w:t>
            </w:r>
          </w:p>
        </w:tc>
      </w:tr>
      <w:tr>
        <w:trPr>
          <w:trHeight w:val="21"/>
        </w:trPr>
        <w:tc>
          <w:tcPr>
            <w:tcW w:w="4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ind w:left="440" w:hanging="270"/>
        <w:spacing w:after="0" w:line="198" w:lineRule="auto"/>
        <w:tabs>
          <w:tab w:leader="none" w:pos="44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2025, we did not reinsure classic auto risks produced by our U.K. MGA subsidiary, and the prior book of business is in run-off.</w:t>
      </w:r>
    </w:p>
    <w:p>
      <w:pPr>
        <w:ind w:left="440" w:hanging="270"/>
        <w:spacing w:after="0" w:line="182" w:lineRule="auto"/>
        <w:tabs>
          <w:tab w:leader="none" w:pos="44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the portion of total written premium subject to reinsurance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Losses and loss adjustment expenses, net</w:t>
      </w:r>
    </w:p>
    <w:p>
      <w:pPr>
        <w:spacing w:after="0" w:line="20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Losses and loss adjustment expenses, net were $90.3 million for the three months ended September 30, 2026, an increase of $11.6 million, or 14.8%, compared to 2025. This increase is primarily the result of the Markel Fronting Arrangement, which increased Hagerty Re's U.S. quota</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share from approximately 80% to 100% as of January 1, 2026 for all in-force policies. To a lesser extent, the increase is driven by continued growth of subject premiums written through our MGA subsidiaries. These increases are largely offset by a $26.0 million reduction to our</w:t>
      </w:r>
    </w:p>
    <w:p>
      <w:pPr>
        <w:ind w:right="300"/>
        <w:spacing w:after="0" w:line="228" w:lineRule="auto"/>
        <w:rPr>
          <w:sz w:val="20"/>
          <w:szCs w:val="20"/>
          <w:color w:val="auto"/>
        </w:rPr>
      </w:pPr>
      <w:r>
        <w:rPr>
          <w:rFonts w:ascii="Times New Roman" w:cs="Times New Roman" w:eastAsia="Times New Roman" w:hAnsi="Times New Roman"/>
          <w:sz w:val="20"/>
          <w:szCs w:val="20"/>
          <w:color w:val="auto"/>
        </w:rPr>
        <w:t>estimate of losses and loss adjustment expenses for the current accident year to reflect continued favorable trends in auto physical damage losses and better-than expected experience in auto liability losses.</w:t>
      </w:r>
    </w:p>
    <w:p>
      <w:pPr>
        <w:spacing w:after="0" w:line="17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For the three months ended September 30, 2026, the Hagerty Re Loss Ratio was 32.6%, a decrease of 9.4 percentage points from 2025, when the Hagerty Re Loss Ratio was 42.0%.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Policy acquisition costs, net</w:t>
      </w:r>
    </w:p>
    <w:p>
      <w:pPr>
        <w:spacing w:after="0" w:line="206"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19"/>
          <w:szCs w:val="19"/>
          <w:color w:val="auto"/>
        </w:rPr>
        <w:t>Policy acquisition costs, net were $62.2 million for the three months ended September 30, 2026, a decrease of $25.2 million, or 28.8%, compared to 2025. This decrease is a result of a change in the composition of expenses following the transition of our business under the</w:t>
      </w:r>
    </w:p>
    <w:p>
      <w:pPr>
        <w:spacing w:after="0" w:line="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Markel Fronting Arrangement, partially offset by growth in earned premium. Refer to the discussion of Policy acquisition costs, net within the section "</w:t>
      </w:r>
      <w:r>
        <w:rPr>
          <w:rFonts w:ascii="Times New Roman" w:cs="Times New Roman" w:eastAsia="Times New Roman" w:hAnsi="Times New Roman"/>
          <w:sz w:val="20"/>
          <w:szCs w:val="20"/>
          <w:i w:val="1"/>
          <w:iCs w:val="1"/>
          <w:color w:val="auto"/>
        </w:rPr>
        <w:t>Components of Our Results of Operations</w:t>
      </w:r>
      <w:r>
        <w:rPr>
          <w:rFonts w:ascii="Times New Roman" w:cs="Times New Roman" w:eastAsia="Times New Roman" w:hAnsi="Times New Roman"/>
          <w:sz w:val="20"/>
          <w:szCs w:val="20"/>
          <w:color w:val="auto"/>
        </w:rPr>
        <w:t>" above for additional details.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Underwriting and other insurance expenses</w:t>
      </w:r>
    </w:p>
    <w:p>
      <w:pPr>
        <w:spacing w:after="0" w:line="220"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Underwriting and other insurance expenses were $66.7 million for the three months ended September 30, 2026, an increase of $65.2 million compared to 2025. This increase is primarily due to the transition of our business under the Markel Fronting Arrangement, which required a</w:t>
      </w:r>
    </w:p>
    <w:p>
      <w:pPr>
        <w:spacing w:after="0" w:line="222" w:lineRule="auto"/>
        <w:rPr>
          <w:sz w:val="20"/>
          <w:szCs w:val="20"/>
          <w:color w:val="auto"/>
        </w:rPr>
      </w:pPr>
      <w:r>
        <w:rPr>
          <w:rFonts w:ascii="Times New Roman" w:cs="Times New Roman" w:eastAsia="Times New Roman" w:hAnsi="Times New Roman"/>
          <w:sz w:val="19"/>
          <w:szCs w:val="19"/>
          <w:color w:val="auto"/>
        </w:rPr>
        <w:t>different classification of certain costs in our Condensed Consolidated Statements of Operations. Beginning in 2026, because we now control</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the Essentia book of business, certain operating costs incurred by our U.S. MGA subsidiary in support of our risk taking activities are classified within "Underwriting and other insurance expenses". In 2025, prior to assuming control of the Essentia book of business, these</w:t>
      </w:r>
    </w:p>
    <w:p>
      <w:pPr>
        <w:spacing w:after="0"/>
        <w:rPr>
          <w:sz w:val="20"/>
          <w:szCs w:val="20"/>
          <w:color w:val="auto"/>
        </w:rPr>
      </w:pPr>
      <w:r>
        <w:rPr>
          <w:rFonts w:ascii="Times New Roman" w:cs="Times New Roman" w:eastAsia="Times New Roman" w:hAnsi="Times New Roman"/>
          <w:sz w:val="20"/>
          <w:szCs w:val="20"/>
          <w:color w:val="auto"/>
        </w:rPr>
        <w:t>costs were categorized within "Selling, general, and administrative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investment income and Net investment gains</w:t>
      </w:r>
    </w:p>
    <w:p>
      <w:pPr>
        <w:spacing w:after="0" w:line="206"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The following table presents the components of Net investment income and Net investment gains related to the Insurance segment for the three months ended September 30, 2026 and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20"/>
                <w:szCs w:val="20"/>
                <w:color w:val="auto"/>
              </w:rPr>
              <w:t>Three months ended September 30,</w:t>
            </w:r>
          </w:p>
        </w:tc>
        <w:tc>
          <w:tcPr>
            <w:tcW w:w="940" w:type="dxa"/>
            <w:vAlign w:val="bottom"/>
            <w:tcBorders>
              <w:bottom w:val="single" w:sz="8" w:color="auto"/>
            </w:tcBorders>
          </w:tcPr>
          <w:p>
            <w:pPr>
              <w:spacing w:after="0"/>
              <w:rPr>
                <w:sz w:val="22"/>
                <w:szCs w:val="22"/>
                <w:color w:val="auto"/>
              </w:rPr>
            </w:pPr>
          </w:p>
        </w:tc>
      </w:tr>
      <w:tr>
        <w:trPr>
          <w:trHeight w:val="254"/>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r>
      <w:tr>
        <w:trPr>
          <w:trHeight w:val="287"/>
        </w:trPr>
        <w:tc>
          <w:tcPr>
            <w:tcW w:w="4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7"/>
          </w:tcPr>
          <w:p>
            <w:pPr>
              <w:ind w:left="40"/>
              <w:spacing w:after="0"/>
              <w:rPr>
                <w:sz w:val="20"/>
                <w:szCs w:val="20"/>
                <w:color w:val="auto"/>
              </w:rPr>
            </w:pPr>
            <w:r>
              <w:rPr>
                <w:rFonts w:ascii="Times New Roman" w:cs="Times New Roman" w:eastAsia="Times New Roman" w:hAnsi="Times New Roman"/>
                <w:sz w:val="20"/>
                <w:szCs w:val="20"/>
                <w:i w:val="1"/>
                <w:iCs w:val="1"/>
                <w:color w:val="auto"/>
              </w:rPr>
              <w:t>in thousands (except percentages)</w:t>
            </w:r>
          </w:p>
        </w:tc>
        <w:tc>
          <w:tcPr>
            <w:tcW w:w="940" w:type="dxa"/>
            <w:vAlign w:val="bottom"/>
          </w:tcPr>
          <w:p>
            <w:pPr>
              <w:spacing w:after="0"/>
              <w:rPr>
                <w:sz w:val="24"/>
                <w:szCs w:val="24"/>
                <w:color w:val="auto"/>
              </w:rPr>
            </w:pPr>
          </w:p>
        </w:tc>
      </w:tr>
      <w:tr>
        <w:trPr>
          <w:trHeight w:val="26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12,196</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9,967</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2,229</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22.4%</w:t>
            </w:r>
          </w:p>
        </w:tc>
      </w:tr>
      <w:tr>
        <w:trPr>
          <w:trHeight w:val="25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Dividend income</w:t>
            </w:r>
          </w:p>
        </w:tc>
        <w:tc>
          <w:tcPr>
            <w:tcW w:w="30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219</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177</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N/M</w:t>
            </w:r>
          </w:p>
        </w:tc>
      </w:tr>
      <w:tr>
        <w:trPr>
          <w:trHeight w:val="25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 management fees and expenses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(131)</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(149)</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18</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12.1%</w:t>
            </w:r>
          </w:p>
        </w:tc>
      </w:tr>
      <w:tr>
        <w:trPr>
          <w:trHeight w:val="25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12,284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9,860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2,424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24.6%</w:t>
            </w:r>
          </w:p>
        </w:tc>
      </w:tr>
      <w:tr>
        <w:trPr>
          <w:trHeight w:val="256"/>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751</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1,271</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(520)</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(40.9)%</w:t>
            </w:r>
          </w:p>
        </w:tc>
      </w:tr>
      <w:tr>
        <w:trPr>
          <w:trHeight w:val="25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13,035</w:t>
            </w:r>
          </w:p>
        </w:tc>
        <w:tc>
          <w:tcPr>
            <w:tcW w:w="160" w:type="dxa"/>
            <w:vAlign w:val="bottom"/>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11,131</w:t>
            </w:r>
          </w:p>
        </w:tc>
        <w:tc>
          <w:tcPr>
            <w:tcW w:w="140" w:type="dxa"/>
            <w:vAlign w:val="bottom"/>
          </w:tcPr>
          <w:p>
            <w:pPr>
              <w:spacing w:after="0"/>
              <w:rPr>
                <w:sz w:val="21"/>
                <w:szCs w:val="21"/>
                <w:color w:val="auto"/>
              </w:rPr>
            </w:pPr>
          </w:p>
        </w:tc>
        <w:tc>
          <w:tcPr>
            <w:tcW w:w="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1,904</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17.1%</w:t>
            </w:r>
          </w:p>
        </w:tc>
      </w:tr>
      <w:tr>
        <w:trPr>
          <w:trHeight w:val="21"/>
        </w:trPr>
        <w:tc>
          <w:tcPr>
            <w:tcW w:w="4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12" w:lineRule="exact"/>
        <w:rPr>
          <w:sz w:val="20"/>
          <w:szCs w:val="20"/>
          <w:color w:val="auto"/>
        </w:rPr>
      </w:pPr>
    </w:p>
    <w:p>
      <w:pPr>
        <w:jc w:val="both"/>
        <w:ind w:right="180"/>
        <w:spacing w:after="0" w:line="230" w:lineRule="auto"/>
        <w:rPr>
          <w:sz w:val="20"/>
          <w:szCs w:val="20"/>
          <w:color w:val="auto"/>
        </w:rPr>
      </w:pPr>
      <w:r>
        <w:rPr>
          <w:rFonts w:ascii="Times New Roman" w:cs="Times New Roman" w:eastAsia="Times New Roman" w:hAnsi="Times New Roman"/>
          <w:sz w:val="20"/>
          <w:szCs w:val="20"/>
          <w:color w:val="auto"/>
        </w:rPr>
        <w:t>The increase in Net investment income is primarily due to a higher average balance of fixed maturity securities when compared to the prior year period. The decrease in Net investment gains is primarily driven by a lower level of unrealized gains on equity securities in the current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Commission and fee revenue</w:t>
      </w:r>
    </w:p>
    <w:p>
      <w:pPr>
        <w:spacing w:after="0" w:line="220"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19"/>
          <w:szCs w:val="19"/>
          <w:color w:val="auto"/>
        </w:rPr>
        <w:t>Commission and fee revenue was $21.6 million for the three months ended September 30, 2026, a decrease of $115.5 million, or 84.3%, compared to 2025. This decrease is primarily due to the transition of our business under the Markel Fronting Arrangement. Due to the</w:t>
      </w:r>
    </w:p>
    <w:p>
      <w:pPr>
        <w:ind w:right="240"/>
        <w:spacing w:after="0" w:line="215" w:lineRule="auto"/>
        <w:rPr>
          <w:sz w:val="20"/>
          <w:szCs w:val="20"/>
          <w:color w:val="auto"/>
        </w:rPr>
      </w:pPr>
      <w:r>
        <w:rPr>
          <w:rFonts w:ascii="Times New Roman" w:cs="Times New Roman" w:eastAsia="Times New Roman" w:hAnsi="Times New Roman"/>
          <w:sz w:val="19"/>
          <w:szCs w:val="19"/>
          <w:color w:val="auto"/>
        </w:rPr>
        <w:t>expanded underwriting and claims authority granted to us under the Markel Fronting Arrangement, we now control the Essentia book of business and, as a result, beginning on January 1, 2026, the benefit of our MGA services is being received by Hagerty Re and not Essentia.</w:t>
      </w:r>
    </w:p>
    <w:p>
      <w:pPr>
        <w:spacing w:after="0" w:line="211" w:lineRule="auto"/>
        <w:rPr>
          <w:sz w:val="20"/>
          <w:szCs w:val="20"/>
          <w:color w:val="auto"/>
        </w:rPr>
      </w:pPr>
      <w:r>
        <w:rPr>
          <w:rFonts w:ascii="Times New Roman" w:cs="Times New Roman" w:eastAsia="Times New Roman" w:hAnsi="Times New Roman"/>
          <w:sz w:val="20"/>
          <w:szCs w:val="20"/>
          <w:color w:val="auto"/>
        </w:rPr>
        <w:t>As a result, effective in the first quarter of 2026, we no longer recognize commission revenue for Essentia-originated policies in our</w:t>
      </w:r>
    </w:p>
    <w:p>
      <w:pPr>
        <w:spacing w:after="0" w:line="221" w:lineRule="auto"/>
        <w:rPr>
          <w:sz w:val="20"/>
          <w:szCs w:val="20"/>
          <w:color w:val="auto"/>
        </w:rPr>
      </w:pPr>
      <w:r>
        <w:rPr>
          <w:rFonts w:ascii="Times New Roman" w:cs="Times New Roman" w:eastAsia="Times New Roman" w:hAnsi="Times New Roman"/>
          <w:sz w:val="20"/>
          <w:szCs w:val="20"/>
          <w:color w:val="auto"/>
        </w:rPr>
        <w:t>Condensed Consolidated Financial Statements. This decrease is partially offset by an increase of $4.0 million related to policies written under the State Farm Master Alliance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Membership and other revenue</w:t>
      </w:r>
    </w:p>
    <w:p>
      <w:pPr>
        <w:spacing w:after="0" w:line="220" w:lineRule="exact"/>
        <w:rPr>
          <w:sz w:val="20"/>
          <w:szCs w:val="20"/>
          <w:color w:val="auto"/>
        </w:rPr>
      </w:pPr>
    </w:p>
    <w:p>
      <w:pPr>
        <w:ind w:right="500"/>
        <w:spacing w:after="0" w:line="227" w:lineRule="auto"/>
        <w:rPr>
          <w:sz w:val="20"/>
          <w:szCs w:val="20"/>
          <w:color w:val="auto"/>
        </w:rPr>
      </w:pPr>
      <w:r>
        <w:rPr>
          <w:rFonts w:ascii="Times New Roman" w:cs="Times New Roman" w:eastAsia="Times New Roman" w:hAnsi="Times New Roman"/>
          <w:sz w:val="19"/>
          <w:szCs w:val="19"/>
          <w:color w:val="auto"/>
        </w:rPr>
        <w:t>Membership and other revenue was $21.9 million for the three months ended September 30, 2026, an increase of $0.4 million, or 1.9%, compared to 2025. This increase is primarily due to a $1.5 million, or 10.1%, increase in revenue attributable to new insurance policies</w:t>
      </w:r>
    </w:p>
    <w:p>
      <w:pPr>
        <w:spacing w:after="0"/>
        <w:rPr>
          <w:sz w:val="20"/>
          <w:szCs w:val="20"/>
          <w:color w:val="auto"/>
        </w:rPr>
      </w:pPr>
      <w:r>
        <w:rPr>
          <w:rFonts w:ascii="Times New Roman" w:cs="Times New Roman" w:eastAsia="Times New Roman" w:hAnsi="Times New Roman"/>
          <w:sz w:val="20"/>
          <w:szCs w:val="20"/>
          <w:color w:val="auto"/>
        </w:rPr>
        <w:t>issued with a bundled HDC membership, partially offset by a decrease of $0.5 million in advertising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Selling, general, and administrative expenses were $54.6 million for the three months ended September 30, 2026, a decrease of $82.8 million,</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or 60.3%, compared to 2025. This decrease is primarily due to the transition of our business under the Markel Fronting Arrangement, which required a different classification of certain costs in our Condensed Consolidated Statements of Operations. Beginning in 2026, because we</w:t>
      </w:r>
    </w:p>
    <w:p>
      <w:pPr>
        <w:spacing w:after="0" w:line="211" w:lineRule="auto"/>
        <w:rPr>
          <w:sz w:val="20"/>
          <w:szCs w:val="20"/>
          <w:color w:val="auto"/>
        </w:rPr>
      </w:pPr>
      <w:r>
        <w:rPr>
          <w:rFonts w:ascii="Times New Roman" w:cs="Times New Roman" w:eastAsia="Times New Roman" w:hAnsi="Times New Roman"/>
          <w:sz w:val="20"/>
          <w:szCs w:val="20"/>
          <w:color w:val="auto"/>
        </w:rPr>
        <w:t>now control the Essentia book of business, certain costs incurred by our U.S. MGA subsidiary in support of our risk taking activities are</w:t>
      </w:r>
    </w:p>
    <w:p>
      <w:pPr>
        <w:ind w:right="380"/>
        <w:spacing w:after="0" w:line="215" w:lineRule="auto"/>
        <w:rPr>
          <w:sz w:val="20"/>
          <w:szCs w:val="20"/>
          <w:color w:val="auto"/>
        </w:rPr>
      </w:pPr>
      <w:r>
        <w:rPr>
          <w:rFonts w:ascii="Times New Roman" w:cs="Times New Roman" w:eastAsia="Times New Roman" w:hAnsi="Times New Roman"/>
          <w:sz w:val="19"/>
          <w:szCs w:val="19"/>
          <w:color w:val="auto"/>
        </w:rPr>
        <w:t>classified within "Losses and loss adjustment expenses, net", "Policy acquisition costs, net", and "Underwriting and other insurance expenses". In 2025, prior to assuming control of the Essentia book of business, these costs were categorized within "Selling, general, and</w:t>
      </w:r>
    </w:p>
    <w:p>
      <w:pPr>
        <w:spacing w:after="0"/>
        <w:rPr>
          <w:sz w:val="20"/>
          <w:szCs w:val="20"/>
          <w:color w:val="auto"/>
        </w:rPr>
      </w:pPr>
      <w:r>
        <w:rPr>
          <w:rFonts w:ascii="Times New Roman" w:cs="Times New Roman" w:eastAsia="Times New Roman" w:hAnsi="Times New Roman"/>
          <w:sz w:val="20"/>
          <w:szCs w:val="20"/>
          <w:color w:val="auto"/>
        </w:rPr>
        <w:t>administrative expenses".</w:t>
      </w:r>
    </w:p>
    <w:p>
      <w:pPr>
        <w:sectPr>
          <w:pgSz w:w="11900" w:h="16838" w:orient="portrait"/>
          <w:cols w:equalWidth="0" w:num="1">
            <w:col w:w="11240"/>
          </w:cols>
          <w:pgMar w:left="320" w:top="238"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Marketplace Segment</w:t>
      </w:r>
    </w:p>
    <w:p>
      <w:pPr>
        <w:spacing w:after="0" w:line="22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The following table summarizes Marketplace segment results of operations for the three months ended September 30, 2026 and 2025, and the dollar and percentage changes between the two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jc w:val="center"/>
              <w:ind w:right="680"/>
              <w:spacing w:after="0"/>
              <w:rPr>
                <w:sz w:val="20"/>
                <w:szCs w:val="20"/>
                <w:color w:val="auto"/>
              </w:rPr>
            </w:pPr>
            <w:r>
              <w:rPr>
                <w:rFonts w:ascii="Times New Roman" w:cs="Times New Roman" w:eastAsia="Times New Roman" w:hAnsi="Times New Roman"/>
                <w:sz w:val="20"/>
                <w:szCs w:val="20"/>
                <w:color w:val="auto"/>
                <w:w w:val="98"/>
              </w:rPr>
              <w:t>Three months ended September 30,</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Segment Results: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6"/>
          </w:tcPr>
          <w:p>
            <w:pPr>
              <w:jc w:val="center"/>
              <w:ind w:right="68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Marketplace revenue</w:t>
            </w:r>
          </w:p>
        </w:tc>
        <w:tc>
          <w:tcPr>
            <w:tcW w:w="3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34,356</w:t>
            </w:r>
          </w:p>
        </w:tc>
        <w:tc>
          <w:tcPr>
            <w:tcW w:w="80" w:type="dxa"/>
            <w:vAlign w:val="bottom"/>
          </w:tcPr>
          <w:p>
            <w:pPr>
              <w:spacing w:after="0"/>
              <w:rPr>
                <w:sz w:val="22"/>
                <w:szCs w:val="22"/>
                <w:color w:val="auto"/>
              </w:rPr>
            </w:pPr>
          </w:p>
        </w:tc>
        <w:tc>
          <w:tcPr>
            <w:tcW w:w="7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(2,192)</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57"/>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49.3 %</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32,600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34,648</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(2,048)</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36"/>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20" w:type="dxa"/>
            <w:vAlign w:val="bottom"/>
            <w:gridSpan w:val="3"/>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Selling, general, and administrative expenses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39,567</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(4,903)</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57"/>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20"/>
                <w:szCs w:val="20"/>
                <w:color w:val="auto"/>
              </w:rPr>
              <w:t>Total expenses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35,150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40,203</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(5,053)</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75"/>
        </w:trPr>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LOSS BEFORE TAXES</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(5,555)</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3,005</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54.1 %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Aggregate Auction Sales</w:t>
            </w: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111,610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67,500</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44,110</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65.3 %</w:t>
            </w:r>
          </w:p>
        </w:tc>
        <w:tc>
          <w:tcPr>
            <w:tcW w:w="0" w:type="dxa"/>
            <w:vAlign w:val="bottom"/>
          </w:tcPr>
          <w:p>
            <w:pPr>
              <w:spacing w:after="0"/>
              <w:rPr>
                <w:sz w:val="1"/>
                <w:szCs w:val="1"/>
                <w:color w:val="auto"/>
              </w:rPr>
            </w:pPr>
          </w:p>
        </w:tc>
      </w:tr>
      <w:tr>
        <w:trPr>
          <w:trHeight w:val="257"/>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Net Auction Sales</w:t>
            </w:r>
          </w:p>
        </w:tc>
        <w:tc>
          <w:tcPr>
            <w:tcW w:w="3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61,771</w:t>
            </w:r>
          </w:p>
        </w:tc>
        <w:tc>
          <w:tcPr>
            <w:tcW w:w="80" w:type="dxa"/>
            <w:vAlign w:val="bottom"/>
          </w:tcPr>
          <w:p>
            <w:pPr>
              <w:spacing w:after="0"/>
              <w:rPr>
                <w:sz w:val="22"/>
                <w:szCs w:val="22"/>
                <w:color w:val="auto"/>
              </w:rPr>
            </w:pPr>
          </w:p>
        </w:tc>
        <w:tc>
          <w:tcPr>
            <w:tcW w:w="7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40,726</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65.9 %</w:t>
            </w:r>
          </w:p>
        </w:tc>
        <w:tc>
          <w:tcPr>
            <w:tcW w:w="0" w:type="dxa"/>
            <w:vAlign w:val="bottom"/>
          </w:tcPr>
          <w:p>
            <w:pPr>
              <w:spacing w:after="0"/>
              <w:rPr>
                <w:sz w:val="1"/>
                <w:szCs w:val="1"/>
                <w:color w:val="auto"/>
              </w:rPr>
            </w:pPr>
          </w:p>
        </w:tc>
      </w:tr>
      <w:tr>
        <w:trPr>
          <w:trHeight w:val="256"/>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 xml:space="preserve">Private Sales </w:t>
            </w:r>
            <w:r>
              <w:rPr>
                <w:rFonts w:ascii="Times New Roman" w:cs="Times New Roman" w:eastAsia="Times New Roman" w:hAnsi="Times New Roman"/>
                <w:sz w:val="10"/>
                <w:szCs w:val="10"/>
                <w:color w:val="auto"/>
              </w:rPr>
              <w:t>(2)</w:t>
            </w: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99,910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53,124</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46,786</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88.1 %</w:t>
            </w:r>
          </w:p>
        </w:tc>
        <w:tc>
          <w:tcPr>
            <w:tcW w:w="0" w:type="dxa"/>
            <w:vAlign w:val="bottom"/>
          </w:tcPr>
          <w:p>
            <w:pPr>
              <w:spacing w:after="0"/>
              <w:rPr>
                <w:sz w:val="1"/>
                <w:szCs w:val="1"/>
                <w:color w:val="auto"/>
              </w:rPr>
            </w:pPr>
          </w:p>
        </w:tc>
      </w:tr>
      <w:tr>
        <w:trPr>
          <w:trHeight w:val="258"/>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BAC Average Loan Portfolio</w:t>
            </w:r>
          </w:p>
        </w:tc>
        <w:tc>
          <w:tcPr>
            <w:tcW w:w="3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97,106</w:t>
            </w:r>
          </w:p>
        </w:tc>
        <w:tc>
          <w:tcPr>
            <w:tcW w:w="80" w:type="dxa"/>
            <w:vAlign w:val="bottom"/>
          </w:tcPr>
          <w:p>
            <w:pPr>
              <w:spacing w:after="0"/>
              <w:rPr>
                <w:sz w:val="22"/>
                <w:szCs w:val="22"/>
                <w:color w:val="auto"/>
              </w:rPr>
            </w:pPr>
          </w:p>
        </w:tc>
        <w:tc>
          <w:tcPr>
            <w:tcW w:w="7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57,532</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59.2 %</w:t>
            </w:r>
          </w:p>
        </w:tc>
        <w:tc>
          <w:tcPr>
            <w:tcW w:w="0" w:type="dxa"/>
            <w:vAlign w:val="bottom"/>
          </w:tcPr>
          <w:p>
            <w:pPr>
              <w:spacing w:after="0"/>
              <w:rPr>
                <w:sz w:val="1"/>
                <w:szCs w:val="1"/>
                <w:color w:val="auto"/>
              </w:rPr>
            </w:pPr>
          </w:p>
        </w:tc>
      </w:tr>
      <w:tr>
        <w:trPr>
          <w:trHeight w:val="372"/>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20"/>
                <w:szCs w:val="20"/>
                <w:color w:val="auto"/>
                <w:w w:val="98"/>
              </w:rPr>
              <w:t>September 30,</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6"/>
          </w:tcPr>
          <w:p>
            <w:pPr>
              <w:jc w:val="center"/>
              <w:ind w:right="68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BAC Loan Portfolio Balance</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162,254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100,055</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62,199</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62.2 %</w:t>
            </w:r>
          </w:p>
        </w:tc>
        <w:tc>
          <w:tcPr>
            <w:tcW w:w="0" w:type="dxa"/>
            <w:vAlign w:val="bottom"/>
          </w:tcPr>
          <w:p>
            <w:pPr>
              <w:spacing w:after="0"/>
              <w:rPr>
                <w:sz w:val="1"/>
                <w:szCs w:val="1"/>
                <w:color w:val="auto"/>
              </w:rPr>
            </w:pPr>
          </w:p>
        </w:tc>
      </w:tr>
      <w:tr>
        <w:trPr>
          <w:trHeight w:val="54"/>
        </w:trPr>
        <w:tc>
          <w:tcPr>
            <w:tcW w:w="3820" w:type="dxa"/>
            <w:vAlign w:val="bottom"/>
            <w:tcBorders>
              <w:bottom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20" w:right="260" w:hanging="250"/>
        <w:spacing w:after="0" w:line="186" w:lineRule="auto"/>
        <w:tabs>
          <w:tab w:leader="none" w:pos="455"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Selling expenses include direct costs associated with the sale of vehicles and memorabilia through auctions and private sales, including the purchase price and associated direct costs of inventory when Broad Arrow opportunistically purchases vehicles to be sold through auctions or private sales, as well as interest expense and borrowing costs associated with the BAC Credit Facility.</w:t>
      </w:r>
    </w:p>
    <w:p>
      <w:pPr>
        <w:ind w:left="420" w:right="160" w:hanging="250"/>
        <w:spacing w:after="0" w:line="180" w:lineRule="auto"/>
        <w:tabs>
          <w:tab w:leader="none" w:pos="455"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Private Sales is a gross transaction-volume metric that includes both brokered private sales, for which we recognize revenue on a net commission basis, and sales of our inventory, for which we recognize revenue on a gross basis.</w:t>
      </w:r>
    </w:p>
    <w:p>
      <w:pPr>
        <w:spacing w:after="0" w:line="186"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9"/>
          <w:szCs w:val="19"/>
          <w:color w:val="auto"/>
        </w:rPr>
        <w:t>Loss before taxes for the Marketplace segment was $2.6 million for the three months ended September 30, 2026, an improvement of $3.0 million compared to 2025. The improved Marketplace segment results are principally due to $87.6 million of Net Auction Sales attributable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to The Quail Auction, representing a $40.0 million, or 84.1%, increase when compared to the comparable Monterey Car Week auction in the prior year. In addition, Marketplace segment results benefitted from a significant increase in commissions earned from brokered private sales,</w:t>
      </w:r>
    </w:p>
    <w:p>
      <w:pPr>
        <w:ind w:right="400"/>
        <w:spacing w:after="0" w:line="228" w:lineRule="auto"/>
        <w:rPr>
          <w:sz w:val="20"/>
          <w:szCs w:val="20"/>
          <w:color w:val="auto"/>
        </w:rPr>
      </w:pPr>
      <w:r>
        <w:rPr>
          <w:rFonts w:ascii="Times New Roman" w:cs="Times New Roman" w:eastAsia="Times New Roman" w:hAnsi="Times New Roman"/>
          <w:sz w:val="20"/>
          <w:szCs w:val="20"/>
          <w:color w:val="auto"/>
        </w:rPr>
        <w:t>as well as an increase in finance revenue due to a 59.2% increase in the BAC Average Loan Portfolio Balance, which was enabled by the upsizing of the BAC Credit Facility in the fourth quarter of 2025.</w:t>
      </w:r>
    </w:p>
    <w:p>
      <w:pPr>
        <w:spacing w:after="0" w:line="176" w:lineRule="exact"/>
        <w:rPr>
          <w:sz w:val="20"/>
          <w:szCs w:val="20"/>
          <w:color w:val="auto"/>
        </w:rPr>
      </w:pPr>
    </w:p>
    <w:p>
      <w:pPr>
        <w:jc w:val="both"/>
        <w:ind w:right="520"/>
        <w:spacing w:after="0" w:line="230" w:lineRule="auto"/>
        <w:rPr>
          <w:sz w:val="20"/>
          <w:szCs w:val="20"/>
          <w:color w:val="auto"/>
        </w:rPr>
      </w:pPr>
      <w:r>
        <w:rPr>
          <w:rFonts w:ascii="Times New Roman" w:cs="Times New Roman" w:eastAsia="Times New Roman" w:hAnsi="Times New Roman"/>
          <w:sz w:val="20"/>
          <w:szCs w:val="20"/>
          <w:color w:val="auto"/>
        </w:rPr>
        <w:t>Despite an increase in commissions earned from auctions and brokered private sales, as well as a higher level of finance revenue, total Marketplace segment revenue is lower when compared to the prior year due to a $9.6 million decrease in revenue from inventory sales, which are reported gross based on the full sale price of the vehicle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and other, net</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03"/>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right="680"/>
              <w:spacing w:after="0"/>
              <w:rPr>
                <w:sz w:val="20"/>
                <w:szCs w:val="20"/>
                <w:color w:val="auto"/>
              </w:rPr>
            </w:pPr>
            <w:r>
              <w:rPr>
                <w:rFonts w:ascii="Times New Roman" w:cs="Times New Roman" w:eastAsia="Times New Roman" w:hAnsi="Times New Roman"/>
                <w:sz w:val="20"/>
                <w:szCs w:val="20"/>
                <w:color w:val="auto"/>
                <w:w w:val="98"/>
              </w:rPr>
              <w:t>Three months ended September 30,</w:t>
            </w:r>
          </w:p>
        </w:tc>
        <w:tc>
          <w:tcPr>
            <w:tcW w:w="940" w:type="dxa"/>
            <w:vAlign w:val="bottom"/>
            <w:tcBorders>
              <w:bottom w:val="single" w:sz="8" w:color="auto"/>
            </w:tcBorders>
          </w:tcPr>
          <w:p>
            <w:pPr>
              <w:spacing w:after="0"/>
              <w:rPr>
                <w:sz w:val="24"/>
                <w:szCs w:val="24"/>
                <w:color w:val="auto"/>
              </w:rPr>
            </w:pPr>
          </w:p>
        </w:tc>
      </w:tr>
      <w:tr>
        <w:trPr>
          <w:trHeight w:val="254"/>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r>
      <w:tr>
        <w:trPr>
          <w:trHeight w:val="287"/>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6"/>
          </w:tcPr>
          <w:p>
            <w:pPr>
              <w:jc w:val="center"/>
              <w:ind w:right="68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940" w:type="dxa"/>
            <w:vAlign w:val="bottom"/>
          </w:tcPr>
          <w:p>
            <w:pPr>
              <w:spacing w:after="0"/>
              <w:rPr>
                <w:sz w:val="24"/>
                <w:szCs w:val="24"/>
                <w:color w:val="auto"/>
              </w:rPr>
            </w:pPr>
          </w:p>
        </w:tc>
      </w:tr>
      <w:tr>
        <w:trPr>
          <w:trHeight w:val="26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Amortization of deferred LPT gain</w:t>
            </w:r>
          </w:p>
        </w:tc>
        <w:tc>
          <w:tcPr>
            <w:tcW w:w="1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jc w:val="center"/>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(1,538)</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Expense related to TRA Liability</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29,197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(29,197)</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56"/>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expense</w:t>
            </w:r>
          </w:p>
        </w:tc>
        <w:tc>
          <w:tcPr>
            <w:tcW w:w="13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58.2 %</w:t>
            </w:r>
          </w:p>
        </w:tc>
      </w:tr>
      <w:tr>
        <w:trPr>
          <w:trHeight w:val="275"/>
        </w:trPr>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32,403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center"/>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(31,517)</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Amortization of deferred LPT gain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three months ended September 30, 2026, amortization of the deferred gain associated with the LPT Agreement was $1.5 million, with</w:t>
      </w:r>
    </w:p>
    <w:p>
      <w:pPr>
        <w:spacing w:after="0" w:line="6"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no comparable amount in the prior year period. The LPT Agreement became effective on January 1, 2026 in connection with the Markel Fronting Arrangement, and the associated deferred gain is being recognized within "Interest expense and other, net" over the expected period</w:t>
      </w:r>
    </w:p>
    <w:p>
      <w:pPr>
        <w:ind w:right="700"/>
        <w:spacing w:after="0" w:line="228" w:lineRule="auto"/>
        <w:rPr>
          <w:sz w:val="20"/>
          <w:szCs w:val="20"/>
          <w:color w:val="auto"/>
        </w:rPr>
      </w:pPr>
      <w:r>
        <w:rPr>
          <w:rFonts w:ascii="Times New Roman" w:cs="Times New Roman" w:eastAsia="Times New Roman" w:hAnsi="Times New Roman"/>
          <w:sz w:val="20"/>
          <w:szCs w:val="20"/>
          <w:color w:val="auto"/>
        </w:rPr>
        <w:t>of future claim payments. Refer to Note 3 — Markel Fronting Arrangement in Item 1 of Part I of this Quarterly Report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three months ended September 30, 2026, interest expense decreased $0.1 million compared to 2025. This decrease is the result of</w:t>
      </w:r>
    </w:p>
    <w:p>
      <w:pPr>
        <w:spacing w:after="0" w:line="6" w:lineRule="exact"/>
        <w:rPr>
          <w:sz w:val="20"/>
          <w:szCs w:val="20"/>
          <w:color w:val="auto"/>
        </w:rPr>
      </w:pPr>
    </w:p>
    <w:p>
      <w:pPr>
        <w:ind w:right="820"/>
        <w:spacing w:after="0" w:line="221" w:lineRule="auto"/>
        <w:rPr>
          <w:sz w:val="20"/>
          <w:szCs w:val="20"/>
          <w:color w:val="auto"/>
        </w:rPr>
      </w:pPr>
      <w:r>
        <w:rPr>
          <w:rFonts w:ascii="Times New Roman" w:cs="Times New Roman" w:eastAsia="Times New Roman" w:hAnsi="Times New Roman"/>
          <w:sz w:val="20"/>
          <w:szCs w:val="20"/>
          <w:color w:val="auto"/>
        </w:rPr>
        <w:t>a lower interest rate incurred on JPM Credit Facility borrowings, partially offset by a higher average balance of JPM Credit Facility borrowings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Expense related to TRA Liability</w:t>
      </w:r>
    </w:p>
    <w:p>
      <w:pPr>
        <w:spacing w:after="0" w:line="220"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In the third quarter of 2025, we updated our assessment of forecasted future taxable income. Based on this assessment, we determined that it was appropriate to release a portion of the valuation allowance previously recorded against our federal and state deferred tax assets. We also</w:t>
      </w:r>
    </w:p>
    <w:p>
      <w:pPr>
        <w:spacing w:after="0" w:line="211" w:lineRule="auto"/>
        <w:rPr>
          <w:sz w:val="20"/>
          <w:szCs w:val="20"/>
          <w:color w:val="auto"/>
        </w:rPr>
      </w:pPr>
      <w:r>
        <w:rPr>
          <w:rFonts w:ascii="Times New Roman" w:cs="Times New Roman" w:eastAsia="Times New Roman" w:hAnsi="Times New Roman"/>
          <w:sz w:val="20"/>
          <w:szCs w:val="20"/>
          <w:color w:val="auto"/>
        </w:rPr>
        <w:t>remeasured the TRA Liability to reflect updated estimates of future payments under the TRA based on forecasted taxable income. This</w:t>
      </w:r>
    </w:p>
    <w:p>
      <w:pPr>
        <w:spacing w:after="0" w:line="1"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19"/>
          <w:szCs w:val="19"/>
          <w:color w:val="auto"/>
        </w:rPr>
        <w:t>remeasurement resulted in an expense of $29.2 million, recorded within "Interest expense and other, net" in the Condensed Consolidated Statements of Operations. Refer to Note 19 — Taxation in Item 1 of Part I of this Quarterly Report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 benefit</w:t>
      </w:r>
    </w:p>
    <w:p>
      <w:pPr>
        <w:spacing w:after="0" w:line="206"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We are the sole managing member of THG, and as a result, consolidate its financial results. THG is treated as a partnership for U.S. federal and most applicable state and local income tax purposes. As a partnership, THG is not subject to U.S. federal and certain state and local</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income taxes. Any taxable income or loss generated by THG is passed through and included in the taxable income or loss of its members, including Hagerty, Inc., on a pro rata basis. Hagerty, Inc. is subject to U.S. federal, state and local income taxes with respect to its allocable</w:t>
      </w:r>
    </w:p>
    <w:p>
      <w:pPr>
        <w:spacing w:after="0" w:line="211" w:lineRule="auto"/>
        <w:rPr>
          <w:sz w:val="20"/>
          <w:szCs w:val="20"/>
          <w:color w:val="auto"/>
        </w:rPr>
      </w:pPr>
      <w:r>
        <w:rPr>
          <w:rFonts w:ascii="Times New Roman" w:cs="Times New Roman" w:eastAsia="Times New Roman" w:hAnsi="Times New Roman"/>
          <w:sz w:val="20"/>
          <w:szCs w:val="20"/>
          <w:color w:val="auto"/>
        </w:rPr>
        <w:t>share of any taxable income or loss of THG, as well as any of its stand-alone income or loss. In addition, Hagerty Insurance Holdings, Inc.,</w:t>
      </w:r>
    </w:p>
    <w:p>
      <w:pPr>
        <w:ind w:right="40"/>
        <w:spacing w:after="0" w:line="221" w:lineRule="auto"/>
        <w:rPr>
          <w:sz w:val="20"/>
          <w:szCs w:val="20"/>
          <w:color w:val="auto"/>
        </w:rPr>
      </w:pPr>
      <w:r>
        <w:rPr>
          <w:rFonts w:ascii="Times New Roman" w:cs="Times New Roman" w:eastAsia="Times New Roman" w:hAnsi="Times New Roman"/>
          <w:sz w:val="20"/>
          <w:szCs w:val="20"/>
          <w:color w:val="auto"/>
        </w:rPr>
        <w:t>Broad Arrow, Hagerty Radwood, Inc., and various foreign subsidiaries are treated as taxable entities. Hagerty Insurance Holdings, Inc. files a consolidated tax return with its wholly owned corporate subsidiaries Hagerty Re and Drivers Edge.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each reporting period, we consider new evidence, both positive and negative, that could affect our view of the realizability of our</w:t>
      </w:r>
    </w:p>
    <w:p>
      <w:pPr>
        <w:ind w:right="540"/>
        <w:spacing w:after="0" w:line="215" w:lineRule="auto"/>
        <w:rPr>
          <w:sz w:val="20"/>
          <w:szCs w:val="20"/>
          <w:color w:val="auto"/>
        </w:rPr>
      </w:pPr>
      <w:r>
        <w:rPr>
          <w:rFonts w:ascii="Times New Roman" w:cs="Times New Roman" w:eastAsia="Times New Roman" w:hAnsi="Times New Roman"/>
          <w:sz w:val="19"/>
          <w:szCs w:val="19"/>
          <w:color w:val="auto"/>
        </w:rPr>
        <w:t>deferred tax assets. In the third quarter of 2025, our continued assessment of the realizability of our deferred tax assets concluded that sufficient sources of future taxable income will be generated to realize a portion of the deferred tax assets related to the outside basis in</w:t>
      </w:r>
    </w:p>
    <w:p>
      <w:pPr>
        <w:spacing w:after="0" w:line="222" w:lineRule="auto"/>
        <w:rPr>
          <w:sz w:val="20"/>
          <w:szCs w:val="20"/>
          <w:color w:val="auto"/>
        </w:rPr>
      </w:pPr>
      <w:r>
        <w:rPr>
          <w:rFonts w:ascii="Times New Roman" w:cs="Times New Roman" w:eastAsia="Times New Roman" w:hAnsi="Times New Roman"/>
          <w:sz w:val="19"/>
          <w:szCs w:val="19"/>
          <w:color w:val="auto"/>
        </w:rPr>
        <w:t>Hagerty, Inc.'s investment in THG and other tax attributes of the Hagerty, Inc. filing entity. In assessing the realizability of these deferred tax</w:t>
      </w:r>
    </w:p>
    <w:p>
      <w:pPr>
        <w:ind w:right="140"/>
        <w:spacing w:after="0" w:line="215" w:lineRule="auto"/>
        <w:rPr>
          <w:sz w:val="20"/>
          <w:szCs w:val="20"/>
          <w:color w:val="auto"/>
        </w:rPr>
      </w:pPr>
      <w:r>
        <w:rPr>
          <w:rFonts w:ascii="Times New Roman" w:cs="Times New Roman" w:eastAsia="Times New Roman" w:hAnsi="Times New Roman"/>
          <w:sz w:val="19"/>
          <w:szCs w:val="19"/>
          <w:color w:val="auto"/>
        </w:rPr>
        <w:t>assets, we considered all sources of positive and negative evidence, including (i) that we achieved cumulative three-year profitability during the quarter; (ii) that our forecasts indicated continued profitability; and (iii) other positive business factors. Based on this evaluation, we</w:t>
      </w:r>
    </w:p>
    <w:p>
      <w:pPr>
        <w:spacing w:after="0" w:line="211" w:lineRule="auto"/>
        <w:rPr>
          <w:sz w:val="20"/>
          <w:szCs w:val="20"/>
          <w:color w:val="auto"/>
        </w:rPr>
      </w:pPr>
      <w:r>
        <w:rPr>
          <w:rFonts w:ascii="Times New Roman" w:cs="Times New Roman" w:eastAsia="Times New Roman" w:hAnsi="Times New Roman"/>
          <w:sz w:val="20"/>
          <w:szCs w:val="20"/>
          <w:color w:val="auto"/>
        </w:rPr>
        <w:t>determined it was appropriate to release a portion of the valuation allowance previously recorded against our federal and state deferred tax</w:t>
      </w:r>
    </w:p>
    <w:p>
      <w:pPr>
        <w:ind w:right="580"/>
        <w:spacing w:after="0" w:line="221" w:lineRule="auto"/>
        <w:rPr>
          <w:sz w:val="20"/>
          <w:szCs w:val="20"/>
          <w:color w:val="auto"/>
        </w:rPr>
      </w:pPr>
      <w:r>
        <w:rPr>
          <w:rFonts w:ascii="Times New Roman" w:cs="Times New Roman" w:eastAsia="Times New Roman" w:hAnsi="Times New Roman"/>
          <w:sz w:val="20"/>
          <w:szCs w:val="20"/>
          <w:color w:val="auto"/>
        </w:rPr>
        <w:t>assets. As a result, $37.3 million of this valuation allowance was released in the third quarter of 2025 with a corresponding income tax benefit recognized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three months ended September 30, 2026, we recorded income tax expense of $5.1 million, resulting in an effective tax rate of 12.4%,</w:t>
      </w:r>
    </w:p>
    <w:p>
      <w:pPr>
        <w:spacing w:after="0" w:line="6"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compared to income tax benefit of $32.8 million for the prior year period, resulting in an effective tax rate of (246.2)%. The comparison to the prior year period is significantly influenced by the $37.3 million income tax benefit recorded in the third quarter of 2025 to release a</w:t>
      </w:r>
    </w:p>
    <w:p>
      <w:pPr>
        <w:spacing w:after="0" w:line="211" w:lineRule="auto"/>
        <w:rPr>
          <w:sz w:val="20"/>
          <w:szCs w:val="20"/>
          <w:color w:val="auto"/>
        </w:rPr>
      </w:pPr>
      <w:r>
        <w:rPr>
          <w:rFonts w:ascii="Times New Roman" w:cs="Times New Roman" w:eastAsia="Times New Roman" w:hAnsi="Times New Roman"/>
          <w:sz w:val="20"/>
          <w:szCs w:val="20"/>
          <w:color w:val="auto"/>
        </w:rPr>
        <w:t>portion of the valuation allowance recorded against our deferred tax assets, as discussed above. The remainder of the change in income tax</w:t>
      </w:r>
    </w:p>
    <w:p>
      <w:pPr>
        <w:ind w:right="40"/>
        <w:spacing w:after="0" w:line="221" w:lineRule="auto"/>
        <w:rPr>
          <w:sz w:val="20"/>
          <w:szCs w:val="20"/>
          <w:color w:val="auto"/>
        </w:rPr>
      </w:pPr>
      <w:r>
        <w:rPr>
          <w:rFonts w:ascii="Times New Roman" w:cs="Times New Roman" w:eastAsia="Times New Roman" w:hAnsi="Times New Roman"/>
          <w:sz w:val="20"/>
          <w:szCs w:val="20"/>
          <w:color w:val="auto"/>
        </w:rPr>
        <w:t>expense is driven by higher earnings in Hagerty Re and an increase in Hagerty, Inc.'s allocable share of income from THG, partially offset by non-reversing temporary differences between taxable income and pre-tax book income related to the Markel Fronting Arrangement.</w:t>
      </w:r>
    </w:p>
    <w:p>
      <w:pPr>
        <w:spacing w:after="0" w:line="189"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20"/>
          <w:szCs w:val="20"/>
          <w:color w:val="auto"/>
        </w:rPr>
        <w:t>Refer to Note 19 — Taxation in Item 1 of Part I of this Quarterly Report for additional information with respect to items affecting our effective tax 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Nine Months Ended September 30, 2026 and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Highlights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5"/>
          </w:tcPr>
          <w:p>
            <w:pPr>
              <w:jc w:val="right"/>
              <w:ind w:right="541"/>
              <w:spacing w:after="0"/>
              <w:rPr>
                <w:sz w:val="20"/>
                <w:szCs w:val="20"/>
                <w:color w:val="auto"/>
              </w:rPr>
            </w:pPr>
            <w:r>
              <w:rPr>
                <w:rFonts w:ascii="Times New Roman" w:cs="Times New Roman" w:eastAsia="Times New Roman" w:hAnsi="Times New Roman"/>
                <w:sz w:val="20"/>
                <w:szCs w:val="20"/>
                <w:color w:val="auto"/>
              </w:rPr>
              <w:t>Nine months ended September 30,</w:t>
            </w:r>
          </w:p>
        </w:tc>
        <w:tc>
          <w:tcPr>
            <w:tcW w:w="860" w:type="dxa"/>
            <w:vAlign w:val="bottom"/>
            <w:tcBorders>
              <w:bottom w:val="single" w:sz="8" w:color="auto"/>
            </w:tcBorders>
          </w:tcPr>
          <w:p>
            <w:pPr>
              <w:spacing w:after="0"/>
              <w:rPr>
                <w:sz w:val="22"/>
                <w:szCs w:val="22"/>
                <w:color w:val="auto"/>
              </w:rPr>
            </w:pPr>
          </w:p>
        </w:tc>
      </w:tr>
      <w:tr>
        <w:trPr>
          <w:trHeight w:val="254"/>
        </w:trPr>
        <w:tc>
          <w:tcPr>
            <w:tcW w:w="4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Change</w:t>
            </w:r>
          </w:p>
        </w:tc>
        <w:tc>
          <w:tcPr>
            <w:tcW w:w="860" w:type="dxa"/>
            <w:vAlign w:val="bottom"/>
            <w:tcBorders>
              <w:bottom w:val="single" w:sz="8" w:color="auto"/>
            </w:tcBorders>
          </w:tcPr>
          <w:p>
            <w:pPr>
              <w:spacing w:after="0"/>
              <w:rPr>
                <w:sz w:val="22"/>
                <w:szCs w:val="22"/>
                <w:color w:val="auto"/>
              </w:rPr>
            </w:pPr>
          </w:p>
        </w:tc>
      </w:tr>
      <w:tr>
        <w:trPr>
          <w:trHeight w:val="28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GAAP Financial Measures</w:t>
            </w:r>
          </w:p>
        </w:tc>
        <w:tc>
          <w:tcPr>
            <w:tcW w:w="280" w:type="dxa"/>
            <w:vAlign w:val="bottom"/>
          </w:tcPr>
          <w:p>
            <w:pPr>
              <w:spacing w:after="0"/>
              <w:rPr>
                <w:sz w:val="24"/>
                <w:szCs w:val="24"/>
                <w:color w:val="auto"/>
              </w:rPr>
            </w:pPr>
          </w:p>
        </w:tc>
        <w:tc>
          <w:tcPr>
            <w:tcW w:w="4580" w:type="dxa"/>
            <w:vAlign w:val="bottom"/>
            <w:gridSpan w:val="7"/>
          </w:tcPr>
          <w:p>
            <w:pPr>
              <w:jc w:val="right"/>
              <w:ind w:right="1"/>
              <w:spacing w:after="0"/>
              <w:rPr>
                <w:sz w:val="20"/>
                <w:szCs w:val="20"/>
                <w:color w:val="auto"/>
              </w:rPr>
            </w:pPr>
            <w:r>
              <w:rPr>
                <w:rFonts w:ascii="Times New Roman" w:cs="Times New Roman" w:eastAsia="Times New Roman" w:hAnsi="Times New Roman"/>
                <w:sz w:val="20"/>
                <w:szCs w:val="20"/>
                <w:i w:val="1"/>
                <w:iCs w:val="1"/>
                <w:color w:val="auto"/>
              </w:rPr>
              <w:t>dollars in thousands (except per share amounts)</w:t>
            </w:r>
          </w:p>
        </w:tc>
        <w:tc>
          <w:tcPr>
            <w:tcW w:w="860" w:type="dxa"/>
            <w:vAlign w:val="bottom"/>
          </w:tcPr>
          <w:p>
            <w:pPr>
              <w:spacing w:after="0"/>
              <w:rPr>
                <w:sz w:val="24"/>
                <w:szCs w:val="24"/>
                <w:color w:val="auto"/>
              </w:rPr>
            </w:pPr>
          </w:p>
        </w:tc>
      </w:tr>
      <w:tr>
        <w:trPr>
          <w:trHeight w:val="260"/>
        </w:trPr>
        <w:tc>
          <w:tcPr>
            <w:tcW w:w="5520" w:type="dxa"/>
            <w:vAlign w:val="bottom"/>
            <w:gridSpan w:val="2"/>
            <w:shd w:val="clear" w:color="auto" w:fill="CCEEFF"/>
          </w:tcPr>
          <w:p>
            <w:pPr>
              <w:ind w:left="140"/>
              <w:spacing w:after="0" w:line="260" w:lineRule="exact"/>
              <w:rPr>
                <w:sz w:val="20"/>
                <w:szCs w:val="20"/>
                <w:color w:val="auto"/>
              </w:rPr>
            </w:pPr>
            <w:r>
              <w:rPr>
                <w:rFonts w:ascii="Times New Roman" w:cs="Times New Roman" w:eastAsia="Times New Roman" w:hAnsi="Times New Roman"/>
                <w:sz w:val="20"/>
                <w:szCs w:val="20"/>
                <w:color w:val="auto"/>
              </w:rPr>
              <w:t xml:space="preserve">Total revenue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1,020,894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1,099,062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rPr>
              <w:t>(78,168)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Income before taxes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22,694</w:t>
            </w:r>
          </w:p>
        </w:tc>
        <w:tc>
          <w:tcPr>
            <w:tcW w:w="8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99,482</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(76,788)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w:t>
            </w:r>
          </w:p>
        </w:tc>
      </w:tr>
      <w:tr>
        <w:trPr>
          <w:trHeight w:val="257"/>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31,565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120,666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rPr>
              <w:t>(89,101)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(73.8)%</w:t>
            </w:r>
          </w:p>
        </w:tc>
      </w:tr>
      <w:tr>
        <w:trPr>
          <w:trHeight w:val="25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income attributable to Class A Common Stockholders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8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34,539</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(34,343)</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r>
      <w:tr>
        <w:trPr>
          <w:trHeight w:val="257"/>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Basic EPS</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rPr>
              <w:t>(0.35)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5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Diluted EPS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8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(0.29)</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70"/>
        </w:trPr>
        <w:tc>
          <w:tcPr>
            <w:tcW w:w="4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5520" w:type="dxa"/>
            <w:vAlign w:val="bottom"/>
            <w:gridSpan w:val="2"/>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Adjusted EBITDA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256,741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180,147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20"/>
                <w:szCs w:val="20"/>
                <w:color w:val="auto"/>
              </w:rPr>
              <w:t>76,594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42.5 %</w:t>
            </w:r>
          </w:p>
        </w:tc>
      </w:tr>
      <w:tr>
        <w:trPr>
          <w:trHeight w:val="257"/>
        </w:trPr>
        <w:tc>
          <w:tcPr>
            <w:tcW w:w="5520" w:type="dxa"/>
            <w:vAlign w:val="bottom"/>
            <w:gridSpan w:val="2"/>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Adjusted Net Income </w:t>
            </w:r>
            <w:r>
              <w:rPr>
                <w:rFonts w:ascii="Times New Roman" w:cs="Times New Roman" w:eastAsia="Times New Roman" w:hAnsi="Times New Roman"/>
                <w:sz w:val="25"/>
                <w:szCs w:val="25"/>
                <w:color w:val="auto"/>
                <w:vertAlign w:val="superscript"/>
              </w:rPr>
              <w:t>(2)</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16,286</w:t>
            </w:r>
          </w:p>
        </w:tc>
        <w:tc>
          <w:tcPr>
            <w:tcW w:w="8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102,342</w:t>
            </w:r>
          </w:p>
        </w:tc>
        <w:tc>
          <w:tcPr>
            <w:tcW w:w="10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(86,056)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w:t>
            </w:r>
          </w:p>
        </w:tc>
      </w:tr>
      <w:tr>
        <w:trPr>
          <w:trHeight w:val="256"/>
        </w:trPr>
        <w:tc>
          <w:tcPr>
            <w:tcW w:w="5520" w:type="dxa"/>
            <w:vAlign w:val="bottom"/>
            <w:gridSpan w:val="2"/>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Adjusted Diluted EPS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rPr>
              <w:t>(0.23)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(82.1)%</w:t>
            </w:r>
          </w:p>
        </w:tc>
      </w:tr>
      <w:tr>
        <w:trPr>
          <w:trHeight w:val="54"/>
        </w:trPr>
        <w:tc>
          <w:tcPr>
            <w:tcW w:w="4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60" w:type="dxa"/>
            <w:vAlign w:val="bottom"/>
          </w:tcPr>
          <w:p>
            <w:pPr>
              <w:spacing w:after="0"/>
              <w:rPr>
                <w:sz w:val="4"/>
                <w:szCs w:val="4"/>
                <w:color w:val="auto"/>
              </w:rPr>
            </w:pPr>
          </w:p>
        </w:tc>
      </w:tr>
    </w:tbl>
    <w:p>
      <w:pPr>
        <w:spacing w:after="0" w:line="54" w:lineRule="exact"/>
        <w:rPr>
          <w:sz w:val="20"/>
          <w:szCs w:val="20"/>
          <w:color w:val="auto"/>
        </w:rPr>
      </w:pPr>
    </w:p>
    <w:p>
      <w:pPr>
        <w:ind w:left="420" w:right="180" w:hanging="250"/>
        <w:spacing w:after="0" w:line="180" w:lineRule="auto"/>
        <w:tabs>
          <w:tab w:leader="none" w:pos="455"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Refer to Note 2 — Summary of Significant Accounting Policies in Item 1 of Part I of this Quarterly Report for a reconciliation of prior year revenue to current year presentation.</w:t>
      </w:r>
    </w:p>
    <w:p>
      <w:pPr>
        <w:spacing w:after="0" w:line="1" w:lineRule="exact"/>
        <w:rPr>
          <w:rFonts w:ascii="Times New Roman" w:cs="Times New Roman" w:eastAsia="Times New Roman" w:hAnsi="Times New Roman"/>
          <w:sz w:val="25"/>
          <w:szCs w:val="25"/>
          <w:color w:val="auto"/>
          <w:vertAlign w:val="superscript"/>
        </w:rPr>
      </w:pPr>
    </w:p>
    <w:p>
      <w:pPr>
        <w:ind w:left="420" w:right="160" w:hanging="250"/>
        <w:spacing w:after="0" w:line="185" w:lineRule="auto"/>
        <w:tabs>
          <w:tab w:leader="none" w:pos="455"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Adjusted EBITDA, Adjusted Net Income, and Adjusted Diluted EPS are non-GAAP financial measures. Please see the section titled "</w:t>
      </w:r>
      <w:r>
        <w:rPr>
          <w:rFonts w:ascii="Times New Roman" w:cs="Times New Roman" w:eastAsia="Times New Roman" w:hAnsi="Times New Roman"/>
          <w:sz w:val="16"/>
          <w:szCs w:val="16"/>
          <w:i w:val="1"/>
          <w:iCs w:val="1"/>
          <w:color w:val="auto"/>
        </w:rPr>
        <w:t>Non-GAAP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Measures</w:t>
      </w:r>
      <w:r>
        <w:rPr>
          <w:rFonts w:ascii="Times New Roman" w:cs="Times New Roman" w:eastAsia="Times New Roman" w:hAnsi="Times New Roman"/>
          <w:sz w:val="16"/>
          <w:szCs w:val="16"/>
          <w:color w:val="auto"/>
        </w:rPr>
        <w:t>" below for a description of these non-GAAP financial measures and a reconciliation to the most comparable GAAP measure, as well as a reconciliation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year Adjusted EBITDA to the current year presentation.</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For the nine months ended September 30, 2026, we reported Net income of $31.6 million, representing an $89.1 million decrease compared to the prior year, and Adjusted EBITDA of $256.7 million, representing a $76.6 million, or 42.5%, increase compared to the prior year.</w:t>
      </w:r>
    </w:p>
    <w:p>
      <w:pPr>
        <w:spacing w:after="0" w:line="164"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In our Insurance segment, Income before taxes for the nine months ended September 30, 2026 was $31.3 million, representing a $113.2 million decrease from the prior year. This decrease is due to the transition of our business under the Markel Fronting Arrangement, which</w:t>
      </w:r>
    </w:p>
    <w:p>
      <w:pPr>
        <w:spacing w:after="0" w:line="222" w:lineRule="auto"/>
        <w:rPr>
          <w:sz w:val="20"/>
          <w:szCs w:val="20"/>
          <w:color w:val="auto"/>
        </w:rPr>
      </w:pPr>
      <w:r>
        <w:rPr>
          <w:rFonts w:ascii="Times New Roman" w:cs="Times New Roman" w:eastAsia="Times New Roman" w:hAnsi="Times New Roman"/>
          <w:sz w:val="19"/>
          <w:szCs w:val="19"/>
          <w:color w:val="auto"/>
        </w:rPr>
        <w:t>resulted in lower Commission and fee revenue and the recognition of non-cash costs to amortize the remaining deferred ceding commissions</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for Essentia policies written in 2025. These factors are partially offset by a $222.5 million, or 41.7%, increase in Earned premium, net, reflecting the increase to our quota share percentage from 80% to 100% under the Markel Fronting Arrangement, as well as the continued</w:t>
      </w:r>
    </w:p>
    <w:p>
      <w:pPr>
        <w:spacing w:after="0" w:line="211" w:lineRule="auto"/>
        <w:rPr>
          <w:sz w:val="20"/>
          <w:szCs w:val="20"/>
          <w:color w:val="auto"/>
        </w:rPr>
      </w:pPr>
      <w:r>
        <w:rPr>
          <w:rFonts w:ascii="Times New Roman" w:cs="Times New Roman" w:eastAsia="Times New Roman" w:hAnsi="Times New Roman"/>
          <w:sz w:val="20"/>
          <w:szCs w:val="20"/>
          <w:color w:val="auto"/>
        </w:rPr>
        <w:t>growth of that book of business. In addition, the comparison to the prior year is favorably impacted by (i) a $5.7 million reduction in our</w:t>
      </w:r>
    </w:p>
    <w:p>
      <w:pPr>
        <w:ind w:right="120"/>
        <w:spacing w:after="0" w:line="215" w:lineRule="auto"/>
        <w:rPr>
          <w:sz w:val="20"/>
          <w:szCs w:val="20"/>
          <w:color w:val="auto"/>
        </w:rPr>
      </w:pPr>
      <w:r>
        <w:rPr>
          <w:rFonts w:ascii="Times New Roman" w:cs="Times New Roman" w:eastAsia="Times New Roman" w:hAnsi="Times New Roman"/>
          <w:sz w:val="19"/>
          <w:szCs w:val="19"/>
          <w:color w:val="auto"/>
        </w:rPr>
        <w:t>estimate of ultimate losses for the 2025 accident year, reflecting the continued emergence of lower physical damage losses; and (ii) a $26.0 million reduction to our estimate of losses and loss adjustment expenses for the current accident year to reflect continued favorable trends in</w:t>
      </w:r>
    </w:p>
    <w:p>
      <w:pPr>
        <w:spacing w:after="0"/>
        <w:rPr>
          <w:sz w:val="20"/>
          <w:szCs w:val="20"/>
          <w:color w:val="auto"/>
        </w:rPr>
      </w:pPr>
      <w:r>
        <w:rPr>
          <w:rFonts w:ascii="Times New Roman" w:cs="Times New Roman" w:eastAsia="Times New Roman" w:hAnsi="Times New Roman"/>
          <w:sz w:val="20"/>
          <w:szCs w:val="20"/>
          <w:color w:val="auto"/>
        </w:rPr>
        <w:t>auto physical damage losses and better-than expected experience in auto liability losses.</w:t>
      </w:r>
    </w:p>
    <w:p>
      <w:pPr>
        <w:spacing w:after="0" w:line="194"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In our Marketplace segment, Loss before taxes for the nine months ended September 30, 2026 was $0.7 million, compared to Loss before taxes of $6.0 million in the prior year. The improved Marketplace segment results are principally due to an 83.2% increase in Net Auction</w:t>
      </w:r>
    </w:p>
    <w:p>
      <w:pPr>
        <w:ind w:right="320"/>
        <w:spacing w:after="0" w:line="215" w:lineRule="auto"/>
        <w:rPr>
          <w:sz w:val="20"/>
          <w:szCs w:val="20"/>
          <w:color w:val="auto"/>
        </w:rPr>
      </w:pPr>
      <w:r>
        <w:rPr>
          <w:rFonts w:ascii="Times New Roman" w:cs="Times New Roman" w:eastAsia="Times New Roman" w:hAnsi="Times New Roman"/>
          <w:sz w:val="19"/>
          <w:szCs w:val="19"/>
          <w:color w:val="auto"/>
        </w:rPr>
        <w:t>Sales, driven by strong year-over-year growth in each of Broad Arrow's signature auctions, including The Amelia in March, the Concorso d'Eleganza Villa d'Este in May, and The Quail, which was held during Monterey Car Week in August. The improvement in Marketplace</w:t>
      </w:r>
    </w:p>
    <w:p>
      <w:pPr>
        <w:spacing w:after="0"/>
        <w:rPr>
          <w:sz w:val="20"/>
          <w:szCs w:val="20"/>
          <w:color w:val="auto"/>
        </w:rPr>
      </w:pPr>
      <w:r>
        <w:rPr>
          <w:rFonts w:ascii="Times New Roman" w:cs="Times New Roman" w:eastAsia="Times New Roman" w:hAnsi="Times New Roman"/>
          <w:sz w:val="20"/>
          <w:szCs w:val="20"/>
          <w:color w:val="auto"/>
        </w:rPr>
        <w:t>segment results is also due, in part, to an increase in finance revenue, reflecting the growth of the BAC loan portfolio.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Segment</w:t>
      </w:r>
    </w:p>
    <w:p>
      <w:pPr>
        <w:spacing w:after="0" w:line="220"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0"/>
          <w:szCs w:val="20"/>
          <w:color w:val="auto"/>
        </w:rPr>
        <w:t>The following table summarizes Insurance segment results of operations for the nine months ended September 30, 2026 and 2025, and the dollar and percentage changes between the two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6"/>
          </w:tcPr>
          <w:p>
            <w:pPr>
              <w:jc w:val="center"/>
              <w:ind w:right="800"/>
              <w:spacing w:after="0"/>
              <w:rPr>
                <w:sz w:val="20"/>
                <w:szCs w:val="20"/>
                <w:color w:val="auto"/>
              </w:rPr>
            </w:pPr>
            <w:r>
              <w:rPr>
                <w:rFonts w:ascii="Times New Roman" w:cs="Times New Roman" w:eastAsia="Times New Roman" w:hAnsi="Times New Roman"/>
                <w:sz w:val="20"/>
                <w:szCs w:val="20"/>
                <w:color w:val="auto"/>
                <w:w w:val="98"/>
              </w:rPr>
              <w:t>Nine months ended September 30,</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20"/>
                <w:szCs w:val="20"/>
                <w:color w:val="auto"/>
              </w:rPr>
              <w:t>Change</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8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Segment Results: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6"/>
          </w:tcPr>
          <w:p>
            <w:pPr>
              <w:jc w:val="center"/>
              <w:ind w:right="800"/>
              <w:spacing w:after="0"/>
              <w:rPr>
                <w:sz w:val="20"/>
                <w:szCs w:val="20"/>
                <w:color w:val="auto"/>
              </w:rPr>
            </w:pPr>
            <w:r>
              <w:rPr>
                <w:rFonts w:ascii="Times New Roman" w:cs="Times New Roman" w:eastAsia="Times New Roman" w:hAnsi="Times New Roman"/>
                <w:sz w:val="20"/>
                <w:szCs w:val="20"/>
                <w:i w:val="1"/>
                <w:iCs w:val="1"/>
                <w:color w:val="auto"/>
                <w:w w:val="97"/>
              </w:rPr>
              <w:t>dollars in thousands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756,711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534,179</w:t>
            </w:r>
          </w:p>
        </w:tc>
        <w:tc>
          <w:tcPr>
            <w:tcW w:w="80" w:type="dxa"/>
            <w:vAlign w:val="bottom"/>
          </w:tcPr>
          <w:p>
            <w:pPr>
              <w:spacing w:after="0"/>
              <w:rPr>
                <w:sz w:val="22"/>
                <w:szCs w:val="22"/>
                <w:color w:val="auto"/>
              </w:rPr>
            </w:pPr>
          </w:p>
        </w:tc>
        <w:tc>
          <w:tcPr>
            <w:tcW w:w="5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222,532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41.7 %</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Commission and fee revenue</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61,686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380,677</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(318,991)</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0" w:type="dxa"/>
            <w:vAlign w:val="bottom"/>
          </w:tcPr>
          <w:p>
            <w:pPr>
              <w:spacing w:after="0"/>
              <w:rPr>
                <w:sz w:val="1"/>
                <w:szCs w:val="1"/>
                <w:color w:val="auto"/>
              </w:rPr>
            </w:pPr>
          </w:p>
        </w:tc>
      </w:tr>
      <w:tr>
        <w:trPr>
          <w:trHeight w:val="257"/>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Membership and other revenue</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65,396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63,102</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2,294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33,029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28,030</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4,999</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17.8 %</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5,641</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2,150</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3,491</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162.4 %</w:t>
            </w:r>
          </w:p>
        </w:tc>
        <w:tc>
          <w:tcPr>
            <w:tcW w:w="0" w:type="dxa"/>
            <w:vAlign w:val="bottom"/>
          </w:tcPr>
          <w:p>
            <w:pPr>
              <w:spacing w:after="0"/>
              <w:rPr>
                <w:sz w:val="1"/>
                <w:szCs w:val="1"/>
                <w:color w:val="auto"/>
              </w:rPr>
            </w:pPr>
          </w:p>
        </w:tc>
      </w:tr>
      <w:tr>
        <w:trPr>
          <w:trHeight w:val="250"/>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922,463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1,008,138</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(85,675)</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Losses and loss adjustment expenses, net</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298,889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224,969</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73,920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32.9 %</w:t>
            </w:r>
          </w:p>
        </w:tc>
        <w:tc>
          <w:tcPr>
            <w:tcW w:w="0" w:type="dxa"/>
            <w:vAlign w:val="bottom"/>
          </w:tcPr>
          <w:p>
            <w:pPr>
              <w:spacing w:after="0"/>
              <w:rPr>
                <w:sz w:val="1"/>
                <w:szCs w:val="1"/>
                <w:color w:val="auto"/>
              </w:rPr>
            </w:pPr>
          </w:p>
        </w:tc>
      </w:tr>
      <w:tr>
        <w:trPr>
          <w:trHeight w:val="257"/>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Policy acquisition costs, net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247,777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247,682</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6"/>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Underwriting and other insurance expenses</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189,251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4,079</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185,172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157,372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384,942</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(227,570)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(2,126)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2,007</w:t>
            </w:r>
          </w:p>
        </w:tc>
        <w:tc>
          <w:tcPr>
            <w:tcW w:w="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(4,133)</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Total expenses</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891,163</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863,679</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27,484</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0" w:type="dxa"/>
            <w:vAlign w:val="bottom"/>
          </w:tcPr>
          <w:p>
            <w:pPr>
              <w:spacing w:after="0"/>
              <w:rPr>
                <w:sz w:val="1"/>
                <w:szCs w:val="1"/>
                <w:color w:val="auto"/>
              </w:rPr>
            </w:pPr>
          </w:p>
        </w:tc>
      </w:tr>
      <w:tr>
        <w:trPr>
          <w:trHeight w:val="27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BEFORE TAXES</w:t>
            </w: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31,300</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144,459</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(113,159)</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Written Premium</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1,099,420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934,360</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165,060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17.7 %</w:t>
            </w:r>
          </w:p>
        </w:tc>
        <w:tc>
          <w:tcPr>
            <w:tcW w:w="0" w:type="dxa"/>
            <w:vAlign w:val="bottom"/>
          </w:tcPr>
          <w:p>
            <w:pPr>
              <w:spacing w:after="0"/>
              <w:rPr>
                <w:sz w:val="1"/>
                <w:szCs w:val="1"/>
                <w:color w:val="auto"/>
              </w:rPr>
            </w:pPr>
          </w:p>
        </w:tc>
      </w:tr>
      <w:tr>
        <w:trPr>
          <w:trHeight w:val="256"/>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Assumed Premium</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956,993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610,137</w:t>
            </w:r>
          </w:p>
        </w:tc>
        <w:tc>
          <w:tcPr>
            <w:tcW w:w="80" w:type="dxa"/>
            <w:vAlign w:val="bottom"/>
          </w:tcPr>
          <w:p>
            <w:pPr>
              <w:spacing w:after="0"/>
              <w:rPr>
                <w:sz w:val="22"/>
                <w:szCs w:val="22"/>
                <w:color w:val="auto"/>
              </w:rPr>
            </w:pPr>
          </w:p>
        </w:tc>
        <w:tc>
          <w:tcPr>
            <w:tcW w:w="5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346,856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56.8 %</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Hagerty Re Loss Ratio</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37.8 %</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42.1 %</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Hagerty Re Combined Ratio</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89.3 %</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6"/>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 xml:space="preserve">New Business Count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Insurance</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402,168</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257,694</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144,474</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56.1 %</w:t>
            </w:r>
          </w:p>
        </w:tc>
        <w:tc>
          <w:tcPr>
            <w:tcW w:w="0" w:type="dxa"/>
            <w:vAlign w:val="bottom"/>
          </w:tcPr>
          <w:p>
            <w:pPr>
              <w:spacing w:after="0"/>
              <w:rPr>
                <w:sz w:val="1"/>
                <w:szCs w:val="1"/>
                <w:color w:val="auto"/>
              </w:rPr>
            </w:pPr>
          </w:p>
        </w:tc>
      </w:tr>
      <w:tr>
        <w:trPr>
          <w:trHeight w:val="374"/>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8"/>
              </w:rPr>
              <w:t>September 30,</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20"/>
                <w:szCs w:val="20"/>
                <w:color w:val="auto"/>
              </w:rPr>
              <w:t>Change</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8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Policies in Force</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1,909,254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1,617,231</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292,023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18.1 %</w:t>
            </w:r>
          </w:p>
        </w:tc>
        <w:tc>
          <w:tcPr>
            <w:tcW w:w="0" w:type="dxa"/>
            <w:vAlign w:val="bottom"/>
          </w:tcPr>
          <w:p>
            <w:pPr>
              <w:spacing w:after="0"/>
              <w:rPr>
                <w:sz w:val="1"/>
                <w:szCs w:val="1"/>
                <w:color w:val="auto"/>
              </w:rPr>
            </w:pPr>
          </w:p>
        </w:tc>
      </w:tr>
      <w:tr>
        <w:trPr>
          <w:trHeight w:val="256"/>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Policies in Force Retention</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88.6 %</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Vehicles in Force</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3,105,819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2,739,037</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366,782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13.4 %</w:t>
            </w:r>
          </w:p>
        </w:tc>
        <w:tc>
          <w:tcPr>
            <w:tcW w:w="0" w:type="dxa"/>
            <w:vAlign w:val="bottom"/>
          </w:tcPr>
          <w:p>
            <w:pPr>
              <w:spacing w:after="0"/>
              <w:rPr>
                <w:sz w:val="1"/>
                <w:szCs w:val="1"/>
                <w:color w:val="auto"/>
              </w:rPr>
            </w:pPr>
          </w:p>
        </w:tc>
      </w:tr>
      <w:tr>
        <w:trPr>
          <w:trHeight w:val="258"/>
        </w:trPr>
        <w:tc>
          <w:tcPr>
            <w:tcW w:w="4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HDC Paid Member Count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977,456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920,725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56,731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2974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As discussed in greater detail above under "</w:t>
      </w:r>
      <w:r>
        <w:rPr>
          <w:rFonts w:ascii="Times New Roman" w:cs="Times New Roman" w:eastAsia="Times New Roman" w:hAnsi="Times New Roman"/>
          <w:sz w:val="19"/>
          <w:szCs w:val="19"/>
          <w:i w:val="1"/>
          <w:iCs w:val="1"/>
          <w:color w:val="auto"/>
        </w:rPr>
        <w:t>Markel Fronting Arrangement</w:t>
      </w:r>
      <w:r>
        <w:rPr>
          <w:rFonts w:ascii="Times New Roman" w:cs="Times New Roman" w:eastAsia="Times New Roman" w:hAnsi="Times New Roman"/>
          <w:sz w:val="19"/>
          <w:szCs w:val="19"/>
          <w:color w:val="auto"/>
        </w:rPr>
        <w:t>", due to the expanded underwriting and claims authority granted to us under the Markel Fronting Arrangement, we now control the Essentia book of business. While our U.S. MGA subsidiary and Hagerty Re</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continue to operate in the same manner they have historically, beginning on January 1, 2026, the benefit of our MGA services is being received by Hagerty Re and not Essentia. As a result, effective in the first quarter of 2026, we are no longer recognizing commission revenue</w:t>
      </w:r>
    </w:p>
    <w:p>
      <w:pPr>
        <w:spacing w:after="0" w:line="222" w:lineRule="auto"/>
        <w:rPr>
          <w:sz w:val="20"/>
          <w:szCs w:val="20"/>
          <w:color w:val="auto"/>
        </w:rPr>
      </w:pPr>
      <w:r>
        <w:rPr>
          <w:rFonts w:ascii="Times New Roman" w:cs="Times New Roman" w:eastAsia="Times New Roman" w:hAnsi="Times New Roman"/>
          <w:sz w:val="19"/>
          <w:szCs w:val="19"/>
          <w:color w:val="auto"/>
        </w:rPr>
        <w:t>or the associated ceding commission expense for Essentia-originated policies in our Condensed Consolidated Financial Statements. However,</w:t>
      </w:r>
    </w:p>
    <w:p>
      <w:pPr>
        <w:ind w:right="200"/>
        <w:spacing w:after="0" w:line="215" w:lineRule="auto"/>
        <w:rPr>
          <w:sz w:val="20"/>
          <w:szCs w:val="20"/>
          <w:color w:val="auto"/>
        </w:rPr>
      </w:pPr>
      <w:r>
        <w:rPr>
          <w:rFonts w:ascii="Times New Roman" w:cs="Times New Roman" w:eastAsia="Times New Roman" w:hAnsi="Times New Roman"/>
          <w:sz w:val="19"/>
          <w:szCs w:val="19"/>
          <w:color w:val="auto"/>
        </w:rPr>
        <w:t>ceding commission expense associated with Essentia policies issued in 2025 is continuing to be recognized ratably over the remaining term of those policies throughout 2026. In addition, policy acquisition costs incurred by our U.S. MGA subsidiary for Essentia policies issued in</w:t>
      </w:r>
    </w:p>
    <w:p>
      <w:pPr>
        <w:ind w:right="260"/>
        <w:spacing w:after="0" w:line="234" w:lineRule="exact"/>
        <w:rPr>
          <w:sz w:val="20"/>
          <w:szCs w:val="20"/>
          <w:color w:val="auto"/>
        </w:rPr>
      </w:pPr>
      <w:r>
        <w:rPr>
          <w:rFonts w:ascii="Times New Roman" w:cs="Times New Roman" w:eastAsia="Times New Roman" w:hAnsi="Times New Roman"/>
          <w:sz w:val="20"/>
          <w:szCs w:val="20"/>
          <w:color w:val="auto"/>
        </w:rPr>
        <w:t>2026 are being deferred and amortized over the policy term. Accordingly, our entry into the Markel Fronting Arrangement has reduced the period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period comparability of our Condensed Consolidated Financial Statements.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standalone results of operations for our Hagerty Re and MGA+ reporting units for the</w:t>
      </w:r>
    </w:p>
    <w:p>
      <w:pPr>
        <w:ind w:right="220"/>
        <w:spacing w:after="0" w:line="215" w:lineRule="auto"/>
        <w:rPr>
          <w:sz w:val="20"/>
          <w:szCs w:val="20"/>
          <w:color w:val="auto"/>
        </w:rPr>
      </w:pPr>
      <w:r>
        <w:rPr>
          <w:rFonts w:ascii="Times New Roman" w:cs="Times New Roman" w:eastAsia="Times New Roman" w:hAnsi="Times New Roman"/>
          <w:sz w:val="19"/>
          <w:szCs w:val="19"/>
          <w:color w:val="auto"/>
        </w:rPr>
        <w:t>nine months ended September 30, 2026, which reflect the continuing operations of those businesses, to our Condensed Consolidated Statements of Operations. This table is presented solely to improve the year-over-year comparability of our financial statements and should</w:t>
      </w:r>
    </w:p>
    <w:p>
      <w:pPr>
        <w:ind w:right="860"/>
        <w:spacing w:after="0" w:line="228" w:lineRule="auto"/>
        <w:rPr>
          <w:sz w:val="20"/>
          <w:szCs w:val="20"/>
          <w:color w:val="auto"/>
        </w:rPr>
      </w:pPr>
      <w:r>
        <w:rPr>
          <w:rFonts w:ascii="Times New Roman" w:cs="Times New Roman" w:eastAsia="Times New Roman" w:hAnsi="Times New Roman"/>
          <w:sz w:val="20"/>
          <w:szCs w:val="20"/>
          <w:color w:val="auto"/>
        </w:rPr>
        <w:t>not be viewed on a standalone basis. It should be read together with our Condensed Consolidated Statements of Operations and the accompanying notes.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Nine months ended September 30, 2026</w:t>
            </w: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w w:val="99"/>
              </w:rPr>
              <w:t>Hagerty Re: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color w:val="auto"/>
              </w:rPr>
              <w:t>Hagerty Re: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w w:val="99"/>
              </w:rPr>
              <w:t>Essentia Policy</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Consolidation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80" w:type="dxa"/>
            <w:vAlign w:val="bottom"/>
          </w:tcPr>
          <w:p>
            <w:pPr>
              <w:spacing w:after="0"/>
              <w:rPr>
                <w:sz w:val="14"/>
                <w:szCs w:val="14"/>
                <w:color w:val="auto"/>
              </w:rPr>
            </w:pPr>
          </w:p>
        </w:tc>
        <w:tc>
          <w:tcPr>
            <w:tcW w:w="130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Essentia Policy</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7"/>
                <w:szCs w:val="17"/>
                <w:color w:val="auto"/>
                <w:w w:val="99"/>
              </w:rPr>
              <w:t>Year 2026 &amp;</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w w:val="99"/>
              </w:rPr>
              <w:t>Hagerty Re Total</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rPr>
              <w:t xml:space="preserve">MGA+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line="230" w:lineRule="exact"/>
              <w:rPr>
                <w:sz w:val="20"/>
                <w:szCs w:val="20"/>
                <w:color w:val="auto"/>
              </w:rPr>
            </w:pPr>
            <w:r>
              <w:rPr>
                <w:rFonts w:ascii="Times New Roman" w:cs="Times New Roman" w:eastAsia="Times New Roman" w:hAnsi="Times New Roman"/>
                <w:sz w:val="17"/>
                <w:szCs w:val="17"/>
                <w:color w:val="auto"/>
                <w:w w:val="92"/>
              </w:rPr>
              <w:t xml:space="preserve">Year 2025 </w:t>
            </w:r>
            <w:r>
              <w:rPr>
                <w:rFonts w:ascii="Times New Roman" w:cs="Times New Roman" w:eastAsia="Times New Roman" w:hAnsi="Times New Roman"/>
                <w:sz w:val="23"/>
                <w:szCs w:val="23"/>
                <w:color w:val="auto"/>
                <w:w w:val="92"/>
                <w:vertAlign w:val="superscript"/>
              </w:rPr>
              <w:t>(a)</w:t>
            </w:r>
          </w:p>
        </w:tc>
        <w:tc>
          <w:tcPr>
            <w:tcW w:w="8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7"/>
                <w:szCs w:val="17"/>
                <w:color w:val="auto"/>
                <w:w w:val="96"/>
              </w:rPr>
              <w:t xml:space="preserve">Other Carriers </w:t>
            </w:r>
            <w:r>
              <w:rPr>
                <w:rFonts w:ascii="Times New Roman" w:cs="Times New Roman" w:eastAsia="Times New Roman" w:hAnsi="Times New Roman"/>
                <w:sz w:val="23"/>
                <w:szCs w:val="23"/>
                <w:color w:val="auto"/>
                <w:w w:val="96"/>
                <w:vertAlign w:val="superscript"/>
              </w:rPr>
              <w:t>(b)</w:t>
            </w:r>
          </w:p>
        </w:tc>
        <w:tc>
          <w:tcPr>
            <w:tcW w:w="80" w:type="dxa"/>
            <w:vAlign w:val="bottom"/>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Entries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Segment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4"/>
          </w:tcPr>
          <w:p>
            <w:pPr>
              <w:jc w:val="right"/>
              <w:ind w:right="475"/>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Earned premium,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463,627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756,711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756,711</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Commission and fee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446,952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275"/>
              <w:spacing w:after="0" w:line="230" w:lineRule="exact"/>
              <w:rPr>
                <w:sz w:val="20"/>
                <w:szCs w:val="20"/>
                <w:color w:val="auto"/>
              </w:rPr>
            </w:pPr>
            <w:r>
              <w:rPr>
                <w:rFonts w:ascii="Times New Roman" w:cs="Times New Roman" w:eastAsia="Times New Roman" w:hAnsi="Times New Roman"/>
                <w:sz w:val="17"/>
                <w:szCs w:val="17"/>
                <w:color w:val="auto"/>
              </w:rPr>
              <w:t xml:space="preserve">(385,266) </w:t>
            </w:r>
            <w:r>
              <w:rPr>
                <w:rFonts w:ascii="Times New Roman" w:cs="Times New Roman" w:eastAsia="Times New Roman" w:hAnsi="Times New Roman"/>
                <w:sz w:val="23"/>
                <w:szCs w:val="23"/>
                <w:color w:val="auto"/>
                <w:vertAlign w:val="superscript"/>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61,686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Membership and other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65,396</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65,396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investment income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investment gains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5,641</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792,258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515,471</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(385,266)</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922,463</w:t>
            </w:r>
          </w:p>
        </w:tc>
        <w:tc>
          <w:tcPr>
            <w:tcW w:w="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Losses and loss adjustment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285,950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12,939</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2"/>
                <w:szCs w:val="12"/>
                <w:color w:val="auto"/>
                <w:w w:val="99"/>
              </w:rPr>
              <w:t>(d)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298,889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 net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Policy acquisition costs, net: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Ceding commission expense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275"/>
              <w:spacing w:after="0" w:line="230" w:lineRule="exact"/>
              <w:rPr>
                <w:sz w:val="20"/>
                <w:szCs w:val="20"/>
                <w:color w:val="auto"/>
              </w:rPr>
            </w:pPr>
            <w:r>
              <w:rPr>
                <w:rFonts w:ascii="Times New Roman" w:cs="Times New Roman" w:eastAsia="Times New Roman" w:hAnsi="Times New Roman"/>
                <w:sz w:val="17"/>
                <w:szCs w:val="17"/>
                <w:color w:val="auto"/>
              </w:rPr>
              <w:t xml:space="preserve">(136,345) </w:t>
            </w:r>
            <w:r>
              <w:rPr>
                <w:rFonts w:ascii="Times New Roman" w:cs="Times New Roman" w:eastAsia="Times New Roman" w:hAnsi="Times New Roman"/>
                <w:sz w:val="23"/>
                <w:szCs w:val="23"/>
                <w:color w:val="auto"/>
                <w:vertAlign w:val="superscript"/>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197,292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policy acquisition costs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36,412</w:t>
            </w:r>
          </w:p>
        </w:tc>
        <w:tc>
          <w:tcPr>
            <w:tcW w:w="52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2"/>
                <w:szCs w:val="12"/>
                <w:color w:val="auto"/>
                <w:w w:val="99"/>
              </w:rPr>
              <w:t>(f)</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Underwriting and other insurance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266,624</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2"/>
                <w:szCs w:val="12"/>
                <w:color w:val="auto"/>
                <w:w w:val="99"/>
              </w:rPr>
              <w:t>(d)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(88,061)</w:t>
            </w:r>
          </w:p>
        </w:tc>
        <w:tc>
          <w:tcPr>
            <w:tcW w:w="520" w:type="dxa"/>
            <w:vAlign w:val="bottom"/>
            <w:gridSpan w:val="2"/>
          </w:tcPr>
          <w:p>
            <w:pPr>
              <w:jc w:val="right"/>
              <w:ind w:right="295"/>
              <w:spacing w:after="0"/>
              <w:rPr>
                <w:sz w:val="20"/>
                <w:szCs w:val="20"/>
                <w:color w:val="auto"/>
              </w:rPr>
            </w:pPr>
            <w:r>
              <w:rPr>
                <w:rFonts w:ascii="Times New Roman" w:cs="Times New Roman" w:eastAsia="Times New Roman" w:hAnsi="Times New Roman"/>
                <w:sz w:val="12"/>
                <w:szCs w:val="12"/>
                <w:color w:val="auto"/>
                <w:w w:val="99"/>
              </w:rPr>
              <w:t>(f)</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189,251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157,372</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157,372</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437,742</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(187,994)</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891,163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BEFORE TAXES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150,843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77,729</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(197,272)</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31,300</w:t>
            </w:r>
          </w:p>
        </w:tc>
        <w:tc>
          <w:tcPr>
            <w:tcW w:w="320" w:type="dxa"/>
            <w:vAlign w:val="bottom"/>
          </w:tcPr>
          <w:p>
            <w:pPr>
              <w:ind w:left="20"/>
              <w:spacing w:after="0" w:line="130" w:lineRule="exact"/>
              <w:rPr>
                <w:sz w:val="20"/>
                <w:szCs w:val="20"/>
                <w:color w:val="auto"/>
              </w:rPr>
            </w:pPr>
            <w:r>
              <w:rPr>
                <w:rFonts w:ascii="Times New Roman" w:cs="Times New Roman" w:eastAsia="Times New Roman" w:hAnsi="Times New Roman"/>
                <w:sz w:val="12"/>
                <w:szCs w:val="12"/>
                <w:color w:val="auto"/>
              </w:rPr>
              <w:t>(g)</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40" w:hanging="270"/>
        <w:spacing w:after="0" w:line="198" w:lineRule="auto"/>
        <w:tabs>
          <w:tab w:leader="none" w:pos="440"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Hagerty Re's earned premium and associated policy acquisition costs related to Essentia policies issued in 2025.</w:t>
      </w:r>
    </w:p>
    <w:p>
      <w:pPr>
        <w:ind w:left="440" w:hanging="270"/>
        <w:spacing w:after="0" w:line="183" w:lineRule="auto"/>
        <w:tabs>
          <w:tab w:leader="none" w:pos="44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Represents Hagerty Re's earned premium and associated policy acquisition costs related to Essentia policies issued in 2026 and through other carriers.</w:t>
      </w:r>
    </w:p>
    <w:p>
      <w:pPr>
        <w:ind w:left="440" w:hanging="270"/>
        <w:spacing w:after="0" w:line="182" w:lineRule="auto"/>
        <w:tabs>
          <w:tab w:leader="none" w:pos="4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MGA+ reporting unit includes our MGA operations, as well as our membership, events, and media activities.</w:t>
      </w:r>
    </w:p>
    <w:p>
      <w:pPr>
        <w:spacing w:after="0" w:line="10" w:lineRule="exact"/>
        <w:rPr>
          <w:rFonts w:ascii="Times New Roman" w:cs="Times New Roman" w:eastAsia="Times New Roman" w:hAnsi="Times New Roman"/>
          <w:sz w:val="22"/>
          <w:szCs w:val="22"/>
          <w:color w:val="auto"/>
          <w:vertAlign w:val="superscript"/>
        </w:rPr>
      </w:pPr>
    </w:p>
    <w:p>
      <w:pPr>
        <w:ind w:left="420" w:right="60" w:hanging="250"/>
        <w:spacing w:after="0" w:line="187" w:lineRule="auto"/>
        <w:tabs>
          <w:tab w:leader="none" w:pos="455"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spacing w:after="0" w:line="2" w:lineRule="exact"/>
        <w:rPr>
          <w:rFonts w:ascii="Times New Roman" w:cs="Times New Roman" w:eastAsia="Times New Roman" w:hAnsi="Times New Roman"/>
          <w:sz w:val="24"/>
          <w:szCs w:val="24"/>
          <w:color w:val="auto"/>
          <w:vertAlign w:val="superscript"/>
        </w:rPr>
      </w:pPr>
    </w:p>
    <w:p>
      <w:pPr>
        <w:ind w:left="420" w:right="120" w:hanging="250"/>
        <w:spacing w:after="0"/>
        <w:tabs>
          <w:tab w:leader="none" w:pos="448"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These consolidation entries are made to eliminate intercompany commission revenue and ceding commission expense between the Hagerty Re and MGA+ reporting units.</w:t>
      </w:r>
    </w:p>
    <w:p>
      <w:pPr>
        <w:spacing w:after="0" w:line="61" w:lineRule="exact"/>
        <w:rPr>
          <w:rFonts w:ascii="Times New Roman" w:cs="Times New Roman" w:eastAsia="Times New Roman" w:hAnsi="Times New Roman"/>
          <w:sz w:val="24"/>
          <w:szCs w:val="24"/>
          <w:color w:val="auto"/>
          <w:vertAlign w:val="superscript"/>
        </w:rPr>
      </w:pPr>
    </w:p>
    <w:p>
      <w:pPr>
        <w:jc w:val="both"/>
        <w:ind w:left="420" w:right="140" w:hanging="250"/>
        <w:spacing w:after="0" w:line="187" w:lineRule="auto"/>
        <w:tabs>
          <w:tab w:leader="none" w:pos="434"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These consolidation entries are made to defer $88.1 million in policy acquisition costs incurred by the MGA+ reporting unit in their standalone results of operations, which are then amortized over the underlying policy term in our Condensed Consolidated Statements of Operations. For the nine months ended September 30, 2026, the amortization of such deferred policy acquisition costs totaled $36.4 million.</w:t>
      </w:r>
    </w:p>
    <w:p>
      <w:pPr>
        <w:spacing w:after="0" w:line="2" w:lineRule="exact"/>
        <w:rPr>
          <w:rFonts w:ascii="Times New Roman" w:cs="Times New Roman" w:eastAsia="Times New Roman" w:hAnsi="Times New Roman"/>
          <w:sz w:val="24"/>
          <w:szCs w:val="24"/>
          <w:color w:val="auto"/>
          <w:vertAlign w:val="superscript"/>
        </w:rPr>
      </w:pPr>
    </w:p>
    <w:p>
      <w:pPr>
        <w:ind w:left="420" w:right="420" w:hanging="250"/>
        <w:spacing w:after="0" w:line="182" w:lineRule="auto"/>
        <w:tabs>
          <w:tab w:leader="none" w:pos="455"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Refer to Note 5 — Segment Reporting and Disaggregated Revenue in Item 1 of Part I of this Quarterly Report for a reconciliation of Insurance segment Income before taxes to consolidated Income before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Earned premium, net</w:t>
      </w:r>
    </w:p>
    <w:p>
      <w:pPr>
        <w:spacing w:after="0" w:line="20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9"/>
          <w:szCs w:val="19"/>
          <w:color w:val="auto"/>
        </w:rPr>
        <w:t>Earned premium, net was $756.7 million for the nine months ended September 30, 2026, an increase of $222.5 million, or 41.7%, compared to 2025. This increase is primarily driven by our entry into the Markel Fronting Arrangement, which became effective January 1, 2026 and</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auto"/>
        </w:rPr>
        <w:t>increased Hagerty Re's U.S. quota share from approximately 80% to 100%, including for in-force policies written in 2025. To a lesser extent, the increase is driven by growth in subject premiums written through our MGA subsidiaries.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premiums assumed and earned, as well as the related quota share percentages for the nine months ended</w:t>
      </w:r>
    </w:p>
    <w:p>
      <w:pPr>
        <w:spacing w:after="0"/>
        <w:rPr>
          <w:sz w:val="20"/>
          <w:szCs w:val="20"/>
          <w:color w:val="auto"/>
        </w:rPr>
      </w:pPr>
      <w:r>
        <w:rPr>
          <w:rFonts w:ascii="Times New Roman" w:cs="Times New Roman" w:eastAsia="Times New Roman" w:hAnsi="Times New Roman"/>
          <w:sz w:val="20"/>
          <w:szCs w:val="20"/>
          <w:color w:val="auto"/>
        </w:rPr>
        <w:t>September 30, 2026 and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9"/>
          </w:tcPr>
          <w:p>
            <w:pPr>
              <w:jc w:val="center"/>
              <w:ind w:right="21"/>
              <w:spacing w:after="0"/>
              <w:rPr>
                <w:sz w:val="20"/>
                <w:szCs w:val="20"/>
                <w:color w:val="auto"/>
              </w:rPr>
            </w:pPr>
            <w:r>
              <w:rPr>
                <w:rFonts w:ascii="Times New Roman" w:cs="Times New Roman" w:eastAsia="Times New Roman" w:hAnsi="Times New Roman"/>
                <w:sz w:val="20"/>
                <w:szCs w:val="20"/>
                <w:color w:val="auto"/>
                <w:w w:val="99"/>
              </w:rPr>
              <w:t>Nine months ended September 30, 2026</w:t>
            </w:r>
          </w:p>
        </w:tc>
        <w:tc>
          <w:tcPr>
            <w:tcW w:w="1200" w:type="dxa"/>
            <w:vAlign w:val="bottom"/>
            <w:tcBorders>
              <w:bottom w:val="single" w:sz="8" w:color="auto"/>
            </w:tcBorders>
          </w:tcPr>
          <w:p>
            <w:pPr>
              <w:spacing w:after="0"/>
              <w:rPr>
                <w:sz w:val="22"/>
                <w:szCs w:val="22"/>
                <w:color w:val="auto"/>
              </w:rPr>
            </w:pPr>
          </w:p>
        </w:tc>
      </w:tr>
      <w:tr>
        <w:trPr>
          <w:trHeight w:val="254"/>
        </w:trPr>
        <w:tc>
          <w:tcPr>
            <w:tcW w:w="4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U.S.</w:t>
            </w:r>
          </w:p>
        </w:tc>
        <w:tc>
          <w:tcPr>
            <w:tcW w:w="1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Canada</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60"/>
              <w:spacing w:after="0" w:line="253" w:lineRule="exact"/>
              <w:rPr>
                <w:sz w:val="20"/>
                <w:szCs w:val="20"/>
                <w:color w:val="auto"/>
              </w:rPr>
            </w:pPr>
            <w:r>
              <w:rPr>
                <w:rFonts w:ascii="Times New Roman" w:cs="Times New Roman" w:eastAsia="Times New Roman" w:hAnsi="Times New Roman"/>
                <w:sz w:val="20"/>
                <w:szCs w:val="20"/>
                <w:color w:val="auto"/>
              </w:rPr>
              <w:t xml:space="preserve">U.K.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4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right="20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0"/>
        </w:trPr>
        <w:tc>
          <w:tcPr>
            <w:tcW w:w="5200" w:type="dxa"/>
            <w:vAlign w:val="bottom"/>
            <w:gridSpan w:val="2"/>
            <w:shd w:val="clear" w:color="auto" w:fill="CCEEFF"/>
          </w:tcPr>
          <w:p>
            <w:pPr>
              <w:ind w:left="20"/>
              <w:spacing w:after="0" w:line="260" w:lineRule="exact"/>
              <w:rPr>
                <w:sz w:val="20"/>
                <w:szCs w:val="20"/>
                <w:color w:val="auto"/>
              </w:rPr>
            </w:pPr>
            <w:r>
              <w:rPr>
                <w:rFonts w:ascii="Times New Roman" w:cs="Times New Roman" w:eastAsia="Times New Roman" w:hAnsi="Times New Roman"/>
                <w:sz w:val="20"/>
                <w:szCs w:val="20"/>
                <w:color w:val="auto"/>
              </w:rPr>
              <w:t xml:space="preserve">Subject premium </w:t>
            </w:r>
            <w:r>
              <w:rPr>
                <w:rFonts w:ascii="Times New Roman" w:cs="Times New Roman" w:eastAsia="Times New Roman" w:hAnsi="Times New Roman"/>
                <w:sz w:val="25"/>
                <w:szCs w:val="25"/>
                <w:color w:val="auto"/>
                <w:vertAlign w:val="superscript"/>
              </w:rPr>
              <w:t>(2) (3)</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1,013,264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60,932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1,074,196</w:t>
            </w:r>
          </w:p>
        </w:tc>
      </w:tr>
      <w:tr>
        <w:trPr>
          <w:trHeight w:val="25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Quota share percentage</w:t>
            </w:r>
          </w:p>
        </w:tc>
        <w:tc>
          <w:tcPr>
            <w:tcW w:w="28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 %</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97.2 %</w:t>
            </w:r>
          </w:p>
        </w:tc>
      </w:tr>
      <w:tr>
        <w:trPr>
          <w:trHeight w:val="250"/>
        </w:trPr>
        <w:tc>
          <w:tcPr>
            <w:tcW w:w="5200" w:type="dxa"/>
            <w:vAlign w:val="bottom"/>
            <w:tcBorders>
              <w:top w:val="single" w:sz="8" w:color="CCEEFF"/>
            </w:tcBorders>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Assumed premium </w:t>
            </w:r>
            <w:r>
              <w:rPr>
                <w:rFonts w:ascii="Times New Roman" w:cs="Times New Roman" w:eastAsia="Times New Roman" w:hAnsi="Times New Roman"/>
                <w:sz w:val="25"/>
                <w:szCs w:val="25"/>
                <w:color w:val="auto"/>
                <w:vertAlign w:val="superscript"/>
              </w:rPr>
              <w:t>(3)</w:t>
            </w: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1,013,264</w:t>
            </w:r>
          </w:p>
        </w:tc>
        <w:tc>
          <w:tcPr>
            <w:tcW w:w="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30,466</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1,043,730</w:t>
            </w:r>
          </w:p>
        </w:tc>
      </w:tr>
      <w:tr>
        <w:trPr>
          <w:trHeight w:val="257"/>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Reinsurance premiums ceded</w:t>
            </w:r>
          </w:p>
        </w:tc>
        <w:tc>
          <w:tcPr>
            <w:tcW w:w="2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(86,737)</w:t>
            </w:r>
          </w:p>
        </w:tc>
      </w:tr>
      <w:tr>
        <w:trPr>
          <w:trHeight w:val="25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assumed premium</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956,993</w:t>
            </w:r>
          </w:p>
        </w:tc>
      </w:tr>
      <w:tr>
        <w:trPr>
          <w:trHeight w:val="25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Change in unearned premiums</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(231,365)</w:t>
            </w:r>
          </w:p>
        </w:tc>
      </w:tr>
      <w:tr>
        <w:trPr>
          <w:trHeight w:val="25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deferred reinsurance premiums</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31,083</w:t>
            </w:r>
          </w:p>
        </w:tc>
      </w:tr>
      <w:tr>
        <w:trPr>
          <w:trHeight w:val="250"/>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756,711</w:t>
            </w:r>
          </w:p>
        </w:tc>
      </w:tr>
      <w:tr>
        <w:trPr>
          <w:trHeight w:val="21"/>
        </w:trPr>
        <w:tc>
          <w:tcPr>
            <w:tcW w:w="4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ind w:left="440" w:hanging="270"/>
        <w:spacing w:after="0" w:line="209" w:lineRule="auto"/>
        <w:tabs>
          <w:tab w:leader="none" w:pos="44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2026, we did not reinsure classic auto risks produced by our U.K. MGA subsidiary, and the prior book of business is in run-off.</w:t>
      </w:r>
    </w:p>
    <w:p>
      <w:pPr>
        <w:ind w:left="440" w:hanging="270"/>
        <w:spacing w:after="0" w:line="187" w:lineRule="auto"/>
        <w:tabs>
          <w:tab w:leader="none" w:pos="44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Represents the portion of total written premium subject to reinsurance agreements.</w:t>
      </w:r>
    </w:p>
    <w:p>
      <w:pPr>
        <w:ind w:left="440" w:hanging="270"/>
        <w:spacing w:after="0" w:line="183" w:lineRule="auto"/>
        <w:tabs>
          <w:tab w:leader="none" w:pos="44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$92.6 million of premium assumed on January 1, 2026 in connection with our entry into the Markel Fronting Arrangement, representing the incremental</w:t>
      </w:r>
    </w:p>
    <w:p>
      <w:pPr>
        <w:ind w:left="420"/>
        <w:spacing w:after="0"/>
        <w:rPr>
          <w:sz w:val="20"/>
          <w:szCs w:val="20"/>
          <w:color w:val="auto"/>
        </w:rPr>
      </w:pPr>
      <w:r>
        <w:rPr>
          <w:rFonts w:ascii="Times New Roman" w:cs="Times New Roman" w:eastAsia="Times New Roman" w:hAnsi="Times New Roman"/>
          <w:sz w:val="16"/>
          <w:szCs w:val="16"/>
          <w:color w:val="auto"/>
        </w:rPr>
        <w:t>20% risk assumed for policies issued in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9"/>
          </w:tcPr>
          <w:p>
            <w:pPr>
              <w:jc w:val="center"/>
              <w:ind w:right="81"/>
              <w:spacing w:after="0"/>
              <w:rPr>
                <w:sz w:val="20"/>
                <w:szCs w:val="20"/>
                <w:color w:val="auto"/>
              </w:rPr>
            </w:pPr>
            <w:r>
              <w:rPr>
                <w:rFonts w:ascii="Times New Roman" w:cs="Times New Roman" w:eastAsia="Times New Roman" w:hAnsi="Times New Roman"/>
                <w:sz w:val="20"/>
                <w:szCs w:val="20"/>
                <w:color w:val="auto"/>
                <w:w w:val="99"/>
              </w:rPr>
              <w:t>Nine months ended September 30, 2025</w:t>
            </w:r>
          </w:p>
        </w:tc>
        <w:tc>
          <w:tcPr>
            <w:tcW w:w="1140" w:type="dxa"/>
            <w:vAlign w:val="bottom"/>
            <w:tcBorders>
              <w:bottom w:val="single" w:sz="8" w:color="auto"/>
            </w:tcBorders>
          </w:tcPr>
          <w:p>
            <w:pPr>
              <w:spacing w:after="0"/>
              <w:rPr>
                <w:sz w:val="22"/>
                <w:szCs w:val="22"/>
                <w:color w:val="auto"/>
              </w:rPr>
            </w:pPr>
          </w:p>
        </w:tc>
      </w:tr>
      <w:tr>
        <w:trPr>
          <w:trHeight w:val="254"/>
        </w:trPr>
        <w:tc>
          <w:tcPr>
            <w:tcW w:w="4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U.S.</w:t>
            </w:r>
          </w:p>
        </w:tc>
        <w:tc>
          <w:tcPr>
            <w:tcW w:w="1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Canada</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1"/>
              <w:spacing w:after="0" w:line="253" w:lineRule="exact"/>
              <w:rPr>
                <w:sz w:val="20"/>
                <w:szCs w:val="20"/>
                <w:color w:val="auto"/>
              </w:rPr>
            </w:pPr>
            <w:r>
              <w:rPr>
                <w:rFonts w:ascii="Times New Roman" w:cs="Times New Roman" w:eastAsia="Times New Roman" w:hAnsi="Times New Roman"/>
                <w:sz w:val="20"/>
                <w:szCs w:val="20"/>
                <w:color w:val="auto"/>
              </w:rPr>
              <w:t xml:space="preserve">U.K.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Total</w:t>
            </w:r>
          </w:p>
        </w:tc>
      </w:tr>
      <w:tr>
        <w:trPr>
          <w:trHeight w:val="287"/>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jc w:val="center"/>
              <w:ind w:right="20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0"/>
        </w:trPr>
        <w:tc>
          <w:tcPr>
            <w:tcW w:w="5220" w:type="dxa"/>
            <w:vAlign w:val="bottom"/>
            <w:gridSpan w:val="2"/>
            <w:shd w:val="clear" w:color="auto" w:fill="CCEEFF"/>
          </w:tcPr>
          <w:p>
            <w:pPr>
              <w:ind w:left="20"/>
              <w:spacing w:after="0" w:line="260" w:lineRule="exact"/>
              <w:rPr>
                <w:sz w:val="20"/>
                <w:szCs w:val="20"/>
                <w:color w:val="auto"/>
              </w:rPr>
            </w:pPr>
            <w:r>
              <w:rPr>
                <w:rFonts w:ascii="Times New Roman" w:cs="Times New Roman" w:eastAsia="Times New Roman" w:hAnsi="Times New Roman"/>
                <w:sz w:val="20"/>
                <w:szCs w:val="20"/>
                <w:color w:val="auto"/>
              </w:rPr>
              <w:t xml:space="preserve">Subject premium </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773,099</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54,058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827,120</w:t>
            </w:r>
          </w:p>
        </w:tc>
      </w:tr>
      <w:tr>
        <w:trPr>
          <w:trHeight w:val="256"/>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Quota share percentage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81.0 %</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50.0 %</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80.0 %</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78.9 %</w:t>
            </w:r>
          </w:p>
        </w:tc>
      </w:tr>
      <w:tr>
        <w:trPr>
          <w:trHeight w:val="25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Assumed premium</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625,205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27,029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652,205</w:t>
            </w:r>
          </w:p>
        </w:tc>
      </w:tr>
      <w:tr>
        <w:trPr>
          <w:trHeight w:val="257"/>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Reinsurance premiums ceded</w:t>
            </w:r>
          </w:p>
        </w:tc>
        <w:tc>
          <w:tcPr>
            <w:tcW w:w="3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(42,068)</w:t>
            </w:r>
          </w:p>
        </w:tc>
      </w:tr>
      <w:tr>
        <w:trPr>
          <w:trHeight w:val="25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assumed premium</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610,137</w:t>
            </w:r>
          </w:p>
        </w:tc>
      </w:tr>
      <w:tr>
        <w:trPr>
          <w:trHeight w:val="25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Change in unearned premiums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(81,616)</w:t>
            </w:r>
          </w:p>
        </w:tc>
      </w:tr>
      <w:tr>
        <w:trPr>
          <w:trHeight w:val="25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deferred reinsurance premiums</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5,658</w:t>
            </w:r>
          </w:p>
        </w:tc>
      </w:tr>
      <w:tr>
        <w:trPr>
          <w:trHeight w:val="250"/>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Earned premium, net</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534,179</w:t>
            </w:r>
          </w:p>
        </w:tc>
      </w:tr>
      <w:tr>
        <w:trPr>
          <w:trHeight w:val="20"/>
        </w:trPr>
        <w:tc>
          <w:tcPr>
            <w:tcW w:w="4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ind w:left="440" w:hanging="270"/>
        <w:spacing w:after="0" w:line="198" w:lineRule="auto"/>
        <w:tabs>
          <w:tab w:leader="none" w:pos="440"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 2025, we did not reinsure classic auto risks produced by our U.K. MGA subsidiary, and the prior book of business is in run-off.</w:t>
      </w:r>
    </w:p>
    <w:p>
      <w:pPr>
        <w:ind w:left="440" w:hanging="270"/>
        <w:spacing w:after="0" w:line="182" w:lineRule="auto"/>
        <w:tabs>
          <w:tab w:leader="none" w:pos="44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the portion of total written premium subject to reinsurance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Losses and loss adjustment expenses, net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Losses and loss adjustment expenses, net were $298.9 million for the nine months ended September 30, 2026, an increase of $73.9 million, or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32.9%, compared to 2025. This increase is primarily the result of the Markel Fronting Arrangement, which increased Hagerty Re's U.S. quota share from approximately 80% to 100% as of January 1, 2026 for all in-force policies. To a lesser extent, the increase is driven by continued</w:t>
      </w:r>
    </w:p>
    <w:p>
      <w:pPr>
        <w:spacing w:after="0" w:line="211" w:lineRule="auto"/>
        <w:rPr>
          <w:sz w:val="20"/>
          <w:szCs w:val="20"/>
          <w:color w:val="auto"/>
        </w:rPr>
      </w:pPr>
      <w:r>
        <w:rPr>
          <w:rFonts w:ascii="Times New Roman" w:cs="Times New Roman" w:eastAsia="Times New Roman" w:hAnsi="Times New Roman"/>
          <w:sz w:val="20"/>
          <w:szCs w:val="20"/>
          <w:color w:val="auto"/>
        </w:rPr>
        <w:t>growth of subject premiums written through our MGA subsidiaries. These increases are partially offset by (i) a $5.7 million reduction in our</w:t>
      </w:r>
    </w:p>
    <w:p>
      <w:pPr>
        <w:ind w:right="120"/>
        <w:spacing w:after="0" w:line="215" w:lineRule="auto"/>
        <w:rPr>
          <w:sz w:val="20"/>
          <w:szCs w:val="20"/>
          <w:color w:val="auto"/>
        </w:rPr>
      </w:pPr>
      <w:r>
        <w:rPr>
          <w:rFonts w:ascii="Times New Roman" w:cs="Times New Roman" w:eastAsia="Times New Roman" w:hAnsi="Times New Roman"/>
          <w:sz w:val="19"/>
          <w:szCs w:val="19"/>
          <w:color w:val="auto"/>
        </w:rPr>
        <w:t>estimate of ultimate losses for the 2025 accident year, reflecting the continued emergence of lower physical damage losses; and (ii) a $26.0 million reduction to our estimate of losses and loss adjustment expenses for the current accident year recorded in the third quarter of 2026 to</w:t>
      </w:r>
    </w:p>
    <w:p>
      <w:pPr>
        <w:spacing w:after="0" w:line="211" w:lineRule="auto"/>
        <w:rPr>
          <w:sz w:val="20"/>
          <w:szCs w:val="20"/>
          <w:color w:val="auto"/>
        </w:rPr>
      </w:pPr>
      <w:r>
        <w:rPr>
          <w:rFonts w:ascii="Times New Roman" w:cs="Times New Roman" w:eastAsia="Times New Roman" w:hAnsi="Times New Roman"/>
          <w:sz w:val="20"/>
          <w:szCs w:val="20"/>
          <w:color w:val="auto"/>
        </w:rPr>
        <w:t>reflect continued favorable trends in auto physical damage losses and better-than expected experience in auto liability losses. In addition,</w:t>
      </w:r>
    </w:p>
    <w:p>
      <w:pPr>
        <w:ind w:right="360"/>
        <w:spacing w:after="0" w:line="221" w:lineRule="auto"/>
        <w:rPr>
          <w:sz w:val="20"/>
          <w:szCs w:val="20"/>
          <w:color w:val="auto"/>
        </w:rPr>
      </w:pPr>
      <w:r>
        <w:rPr>
          <w:rFonts w:ascii="Times New Roman" w:cs="Times New Roman" w:eastAsia="Times New Roman" w:hAnsi="Times New Roman"/>
          <w:sz w:val="20"/>
          <w:szCs w:val="20"/>
          <w:color w:val="auto"/>
        </w:rPr>
        <w:t>losses and loss adjustment expenses for the nine months ended September 30, 2025 included $10.3 million of pre-tax losses related to the Southern California wildfires, with no comparable losses in 2026.</w:t>
      </w:r>
    </w:p>
    <w:p>
      <w:pPr>
        <w:spacing w:after="0" w:line="18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For the nine months ended September 30, 2026, the Hagerty Re Loss Ratio was 37.8%, a decrease of 4.3 percentage points from 2025, when the Hagerty Re Loss Ratio was 42.1%.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Policy acquisition costs, net</w:t>
      </w:r>
    </w:p>
    <w:p>
      <w:pPr>
        <w:spacing w:after="0" w:line="220"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9"/>
          <w:szCs w:val="19"/>
          <w:color w:val="auto"/>
        </w:rPr>
        <w:t>Policy acquisition costs, net were $247.8 million for the nine months ended September 30, 2026, an increase of $0.1 million, compared to 2025. The comparison of Policy acquisition costs, net between the current and prior periods is significantly impacted by a change in the</w:t>
      </w:r>
    </w:p>
    <w:p>
      <w:pPr>
        <w:ind w:right="200"/>
        <w:spacing w:after="0" w:line="228" w:lineRule="auto"/>
        <w:rPr>
          <w:sz w:val="20"/>
          <w:szCs w:val="20"/>
          <w:color w:val="auto"/>
        </w:rPr>
      </w:pPr>
      <w:r>
        <w:rPr>
          <w:rFonts w:ascii="Times New Roman" w:cs="Times New Roman" w:eastAsia="Times New Roman" w:hAnsi="Times New Roman"/>
          <w:sz w:val="20"/>
          <w:szCs w:val="20"/>
          <w:color w:val="auto"/>
        </w:rPr>
        <w:t>composition of expenses following the transition of our business under the Markel Fronting Arrangement. Refer to the discussion of Policy acquisition costs, net within the section "</w:t>
      </w:r>
      <w:r>
        <w:rPr>
          <w:rFonts w:ascii="Times New Roman" w:cs="Times New Roman" w:eastAsia="Times New Roman" w:hAnsi="Times New Roman"/>
          <w:sz w:val="20"/>
          <w:szCs w:val="20"/>
          <w:i w:val="1"/>
          <w:iCs w:val="1"/>
          <w:color w:val="auto"/>
        </w:rPr>
        <w:t>Components of Our Results of Operations</w:t>
      </w:r>
      <w:r>
        <w:rPr>
          <w:rFonts w:ascii="Times New Roman" w:cs="Times New Roman" w:eastAsia="Times New Roman" w:hAnsi="Times New Roman"/>
          <w:sz w:val="20"/>
          <w:szCs w:val="20"/>
          <w:color w:val="auto"/>
        </w:rPr>
        <w:t>" above for additional details.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Underwriting and other insurance expenses</w:t>
      </w:r>
    </w:p>
    <w:p>
      <w:pPr>
        <w:spacing w:after="0" w:line="220" w:lineRule="exact"/>
        <w:rPr>
          <w:sz w:val="20"/>
          <w:szCs w:val="20"/>
          <w:color w:val="auto"/>
        </w:rPr>
      </w:pPr>
    </w:p>
    <w:p>
      <w:pPr>
        <w:ind w:right="380"/>
        <w:spacing w:after="0" w:line="227" w:lineRule="auto"/>
        <w:rPr>
          <w:sz w:val="20"/>
          <w:szCs w:val="20"/>
          <w:color w:val="auto"/>
        </w:rPr>
      </w:pPr>
      <w:r>
        <w:rPr>
          <w:rFonts w:ascii="Times New Roman" w:cs="Times New Roman" w:eastAsia="Times New Roman" w:hAnsi="Times New Roman"/>
          <w:sz w:val="19"/>
          <w:szCs w:val="19"/>
          <w:color w:val="auto"/>
        </w:rPr>
        <w:t>Underwriting and other insurance expenses were $189.3 million for the nine months ended September 30, 2026, an increase of $185.2 million compared to 2025. This increase is primarily due to the transition of our business under the Markel Fronting Arrangement, which</w:t>
      </w:r>
    </w:p>
    <w:p>
      <w:pPr>
        <w:spacing w:after="0" w:line="211" w:lineRule="auto"/>
        <w:rPr>
          <w:sz w:val="20"/>
          <w:szCs w:val="20"/>
          <w:color w:val="auto"/>
        </w:rPr>
      </w:pPr>
      <w:r>
        <w:rPr>
          <w:rFonts w:ascii="Times New Roman" w:cs="Times New Roman" w:eastAsia="Times New Roman" w:hAnsi="Times New Roman"/>
          <w:sz w:val="20"/>
          <w:szCs w:val="20"/>
          <w:color w:val="auto"/>
        </w:rPr>
        <w:t>required a different classification of certain costs in our Condensed Consolidated Statements of Operations. Beginning in 2026, because we</w:t>
      </w:r>
    </w:p>
    <w:p>
      <w:pPr>
        <w:spacing w:after="0" w:line="1" w:lineRule="exact"/>
        <w:rPr>
          <w:sz w:val="20"/>
          <w:szCs w:val="20"/>
          <w:color w:val="auto"/>
        </w:rPr>
      </w:pPr>
    </w:p>
    <w:p>
      <w:pPr>
        <w:ind w:right="560"/>
        <w:spacing w:after="0" w:line="215" w:lineRule="auto"/>
        <w:rPr>
          <w:sz w:val="20"/>
          <w:szCs w:val="20"/>
          <w:color w:val="auto"/>
        </w:rPr>
      </w:pPr>
      <w:r>
        <w:rPr>
          <w:rFonts w:ascii="Times New Roman" w:cs="Times New Roman" w:eastAsia="Times New Roman" w:hAnsi="Times New Roman"/>
          <w:sz w:val="19"/>
          <w:szCs w:val="19"/>
          <w:color w:val="auto"/>
        </w:rPr>
        <w:t>now control the Essentia book of business, certain operating costs incurred by our U.S. MGA subsidiary in support of our risk taking activities are classified within "Underwriting and other insurance expenses". In 2025, prior to assuming control of the Essentia book of</w:t>
      </w:r>
    </w:p>
    <w:p>
      <w:pPr>
        <w:spacing w:after="0"/>
        <w:rPr>
          <w:sz w:val="20"/>
          <w:szCs w:val="20"/>
          <w:color w:val="auto"/>
        </w:rPr>
      </w:pPr>
      <w:r>
        <w:rPr>
          <w:rFonts w:ascii="Times New Roman" w:cs="Times New Roman" w:eastAsia="Times New Roman" w:hAnsi="Times New Roman"/>
          <w:sz w:val="20"/>
          <w:szCs w:val="20"/>
          <w:color w:val="auto"/>
        </w:rPr>
        <w:t>business, these costs were categorized within "Selling, general, and administrative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investment income and Net investment gains</w:t>
      </w:r>
    </w:p>
    <w:p>
      <w:pPr>
        <w:spacing w:after="0" w:line="206"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The following table presents the components of Net investment income and Net investment gains related to the Insurance segment for the nine months ended September 30, 2026 and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20"/>
                <w:szCs w:val="20"/>
                <w:color w:val="auto"/>
              </w:rPr>
              <w:t>Nine months ended September 30,</w:t>
            </w:r>
          </w:p>
        </w:tc>
        <w:tc>
          <w:tcPr>
            <w:tcW w:w="940" w:type="dxa"/>
            <w:vAlign w:val="bottom"/>
            <w:tcBorders>
              <w:bottom w:val="single" w:sz="8" w:color="auto"/>
            </w:tcBorders>
          </w:tcPr>
          <w:p>
            <w:pPr>
              <w:spacing w:after="0"/>
              <w:rPr>
                <w:sz w:val="22"/>
                <w:szCs w:val="22"/>
                <w:color w:val="auto"/>
              </w:rPr>
            </w:pPr>
          </w:p>
        </w:tc>
      </w:tr>
      <w:tr>
        <w:trPr>
          <w:trHeight w:val="254"/>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r>
      <w:tr>
        <w:trPr>
          <w:trHeight w:val="287"/>
        </w:trPr>
        <w:tc>
          <w:tcPr>
            <w:tcW w:w="4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7"/>
          </w:tcPr>
          <w:p>
            <w:pPr>
              <w:ind w:left="40"/>
              <w:spacing w:after="0"/>
              <w:rPr>
                <w:sz w:val="20"/>
                <w:szCs w:val="20"/>
                <w:color w:val="auto"/>
              </w:rPr>
            </w:pPr>
            <w:r>
              <w:rPr>
                <w:rFonts w:ascii="Times New Roman" w:cs="Times New Roman" w:eastAsia="Times New Roman" w:hAnsi="Times New Roman"/>
                <w:sz w:val="20"/>
                <w:szCs w:val="20"/>
                <w:i w:val="1"/>
                <w:iCs w:val="1"/>
                <w:color w:val="auto"/>
              </w:rPr>
              <w:t>in thousands (except percentages)</w:t>
            </w:r>
          </w:p>
        </w:tc>
        <w:tc>
          <w:tcPr>
            <w:tcW w:w="940" w:type="dxa"/>
            <w:vAlign w:val="bottom"/>
          </w:tcPr>
          <w:p>
            <w:pPr>
              <w:spacing w:after="0"/>
              <w:rPr>
                <w:sz w:val="24"/>
                <w:szCs w:val="24"/>
                <w:color w:val="auto"/>
              </w:rPr>
            </w:pPr>
          </w:p>
        </w:tc>
      </w:tr>
      <w:tr>
        <w:trPr>
          <w:trHeight w:val="26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32,941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28,315</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4,626</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16.3%</w:t>
            </w:r>
          </w:p>
        </w:tc>
      </w:tr>
      <w:tr>
        <w:trPr>
          <w:trHeight w:val="25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Dividend income</w:t>
            </w:r>
          </w:p>
        </w:tc>
        <w:tc>
          <w:tcPr>
            <w:tcW w:w="30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583</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121</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462</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N/M</w:t>
            </w:r>
          </w:p>
        </w:tc>
      </w:tr>
      <w:tr>
        <w:trPr>
          <w:trHeight w:val="25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 management fees and expenses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(495)</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(406)</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(89)</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(21.9)%</w:t>
            </w:r>
          </w:p>
        </w:tc>
      </w:tr>
      <w:tr>
        <w:trPr>
          <w:trHeight w:val="25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33,029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28,030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4,999</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17.8%</w:t>
            </w:r>
          </w:p>
        </w:tc>
      </w:tr>
      <w:tr>
        <w:trPr>
          <w:trHeight w:val="25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5,641</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2,150</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3,491</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162.4%</w:t>
            </w:r>
          </w:p>
        </w:tc>
      </w:tr>
      <w:tr>
        <w:trPr>
          <w:trHeight w:val="25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38,670</w:t>
            </w:r>
          </w:p>
        </w:tc>
        <w:tc>
          <w:tcPr>
            <w:tcW w:w="160" w:type="dxa"/>
            <w:vAlign w:val="bottom"/>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30,180</w:t>
            </w:r>
          </w:p>
        </w:tc>
        <w:tc>
          <w:tcPr>
            <w:tcW w:w="140" w:type="dxa"/>
            <w:vAlign w:val="bottom"/>
          </w:tcPr>
          <w:p>
            <w:pPr>
              <w:spacing w:after="0"/>
              <w:rPr>
                <w:sz w:val="21"/>
                <w:szCs w:val="21"/>
                <w:color w:val="auto"/>
              </w:rPr>
            </w:pPr>
          </w:p>
        </w:tc>
        <w:tc>
          <w:tcPr>
            <w:tcW w:w="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8,490</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28.1%</w:t>
            </w:r>
          </w:p>
        </w:tc>
      </w:tr>
      <w:tr>
        <w:trPr>
          <w:trHeight w:val="20"/>
        </w:trPr>
        <w:tc>
          <w:tcPr>
            <w:tcW w:w="4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12" w:lineRule="exact"/>
        <w:rPr>
          <w:sz w:val="20"/>
          <w:szCs w:val="20"/>
          <w:color w:val="auto"/>
        </w:rPr>
      </w:pPr>
    </w:p>
    <w:p>
      <w:pPr>
        <w:jc w:val="both"/>
        <w:ind w:right="160"/>
        <w:spacing w:after="0" w:line="230" w:lineRule="auto"/>
        <w:rPr>
          <w:sz w:val="20"/>
          <w:szCs w:val="20"/>
          <w:color w:val="auto"/>
        </w:rPr>
      </w:pPr>
      <w:r>
        <w:rPr>
          <w:rFonts w:ascii="Times New Roman" w:cs="Times New Roman" w:eastAsia="Times New Roman" w:hAnsi="Times New Roman"/>
          <w:sz w:val="20"/>
          <w:szCs w:val="20"/>
          <w:color w:val="auto"/>
        </w:rPr>
        <w:t>The increase in Net investment income is primarily due to a higher average balance of fixed maturity securities when compared to the prior year period. The increase in Net investment gains is primarily driven by a higher level of unrealized gains on equity securities in the current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Commission and fee revenue</w:t>
      </w:r>
    </w:p>
    <w:p>
      <w:pPr>
        <w:spacing w:after="0" w:line="220" w:lineRule="exact"/>
        <w:rPr>
          <w:sz w:val="20"/>
          <w:szCs w:val="20"/>
          <w:color w:val="auto"/>
        </w:rPr>
      </w:pPr>
    </w:p>
    <w:p>
      <w:pPr>
        <w:ind w:right="480"/>
        <w:spacing w:after="0" w:line="227" w:lineRule="auto"/>
        <w:rPr>
          <w:sz w:val="20"/>
          <w:szCs w:val="20"/>
          <w:color w:val="auto"/>
        </w:rPr>
      </w:pPr>
      <w:r>
        <w:rPr>
          <w:rFonts w:ascii="Times New Roman" w:cs="Times New Roman" w:eastAsia="Times New Roman" w:hAnsi="Times New Roman"/>
          <w:sz w:val="19"/>
          <w:szCs w:val="19"/>
          <w:color w:val="auto"/>
        </w:rPr>
        <w:t>Commission and fee revenue was $61.7 million for the nine months ended September 30, 2026, a decrease of $319.0 million, or 83.8%, compared to 2025. This decrease is primarily due to the transition of our business under the Markel Fronting Arrangement. Due to the</w:t>
      </w:r>
    </w:p>
    <w:p>
      <w:pPr>
        <w:ind w:right="240"/>
        <w:spacing w:after="0" w:line="215" w:lineRule="auto"/>
        <w:rPr>
          <w:sz w:val="20"/>
          <w:szCs w:val="20"/>
          <w:color w:val="auto"/>
        </w:rPr>
      </w:pPr>
      <w:r>
        <w:rPr>
          <w:rFonts w:ascii="Times New Roman" w:cs="Times New Roman" w:eastAsia="Times New Roman" w:hAnsi="Times New Roman"/>
          <w:sz w:val="19"/>
          <w:szCs w:val="19"/>
          <w:color w:val="auto"/>
        </w:rPr>
        <w:t>expanded underwriting and claims authority granted to us under the Markel Fronting Arrangement, we now control the Essentia book of business and, as a result, beginning on January 1, 2026, the benefit of our MGA services is being received by Hagerty Re and not Essentia.</w:t>
      </w:r>
    </w:p>
    <w:p>
      <w:pPr>
        <w:spacing w:after="0" w:line="211" w:lineRule="auto"/>
        <w:rPr>
          <w:sz w:val="20"/>
          <w:szCs w:val="20"/>
          <w:color w:val="auto"/>
        </w:rPr>
      </w:pPr>
      <w:r>
        <w:rPr>
          <w:rFonts w:ascii="Times New Roman" w:cs="Times New Roman" w:eastAsia="Times New Roman" w:hAnsi="Times New Roman"/>
          <w:sz w:val="20"/>
          <w:szCs w:val="20"/>
          <w:color w:val="auto"/>
        </w:rPr>
        <w:t>As a result, effective in the first quarter of 2026, we no longer recognize commission revenue for Essentia-originated policies in our</w:t>
      </w:r>
    </w:p>
    <w:p>
      <w:pPr>
        <w:ind w:right="420"/>
        <w:spacing w:after="0" w:line="221" w:lineRule="auto"/>
        <w:rPr>
          <w:sz w:val="20"/>
          <w:szCs w:val="20"/>
          <w:color w:val="auto"/>
        </w:rPr>
      </w:pPr>
      <w:r>
        <w:rPr>
          <w:rFonts w:ascii="Times New Roman" w:cs="Times New Roman" w:eastAsia="Times New Roman" w:hAnsi="Times New Roman"/>
          <w:sz w:val="20"/>
          <w:szCs w:val="20"/>
          <w:color w:val="auto"/>
        </w:rPr>
        <w:t>Condensed Consolidated Financial Statements. This decrease is partially offset by an increase of $14.5 million related to policies written under the State Farm Master Alliance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Membership and other revenue</w:t>
      </w:r>
    </w:p>
    <w:p>
      <w:pPr>
        <w:spacing w:after="0" w:line="220" w:lineRule="exact"/>
        <w:rPr>
          <w:sz w:val="20"/>
          <w:szCs w:val="20"/>
          <w:color w:val="auto"/>
        </w:rPr>
      </w:pPr>
    </w:p>
    <w:p>
      <w:pPr>
        <w:ind w:right="540"/>
        <w:spacing w:after="0" w:line="227" w:lineRule="auto"/>
        <w:rPr>
          <w:sz w:val="20"/>
          <w:szCs w:val="20"/>
          <w:color w:val="auto"/>
        </w:rPr>
      </w:pPr>
      <w:r>
        <w:rPr>
          <w:rFonts w:ascii="Times New Roman" w:cs="Times New Roman" w:eastAsia="Times New Roman" w:hAnsi="Times New Roman"/>
          <w:sz w:val="19"/>
          <w:szCs w:val="19"/>
          <w:color w:val="auto"/>
        </w:rPr>
        <w:t>Membership and other revenue was $65.4 million for the nine months ended September 30, 2026, an increase of $2.3 million, or 3.6%, compared to 2025. This increase is primarily due to a $4.4 million, or 10.2%, increase in revenue attributable to new insurance policies</w:t>
      </w:r>
    </w:p>
    <w:p>
      <w:pPr>
        <w:spacing w:after="0"/>
        <w:rPr>
          <w:sz w:val="20"/>
          <w:szCs w:val="20"/>
          <w:color w:val="auto"/>
        </w:rPr>
      </w:pPr>
      <w:r>
        <w:rPr>
          <w:rFonts w:ascii="Times New Roman" w:cs="Times New Roman" w:eastAsia="Times New Roman" w:hAnsi="Times New Roman"/>
          <w:sz w:val="20"/>
          <w:szCs w:val="20"/>
          <w:color w:val="auto"/>
        </w:rPr>
        <w:t>issued with a bundled HDC membership, partially offset by a $1.1 million decrease in advertising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expenses were $157.4 million for the nine months ended September 30, 2026, a decrease of $227.6</w:t>
      </w:r>
    </w:p>
    <w:p>
      <w:pPr>
        <w:spacing w:after="0" w:line="215" w:lineRule="auto"/>
        <w:rPr>
          <w:sz w:val="20"/>
          <w:szCs w:val="20"/>
          <w:color w:val="auto"/>
        </w:rPr>
      </w:pPr>
      <w:r>
        <w:rPr>
          <w:rFonts w:ascii="Times New Roman" w:cs="Times New Roman" w:eastAsia="Times New Roman" w:hAnsi="Times New Roman"/>
          <w:sz w:val="19"/>
          <w:szCs w:val="19"/>
          <w:color w:val="auto"/>
        </w:rPr>
        <w:t>million, or 59.1%, compared to 2025. This decrease is primarily due to the transition of our business under the Markel Fronting Arrangement, which required a different classification of certain costs in our Condensed Consolidated Statements of Operations. Beginning in 2026,</w:t>
      </w:r>
    </w:p>
    <w:p>
      <w:pPr>
        <w:spacing w:after="0" w:line="211" w:lineRule="auto"/>
        <w:rPr>
          <w:sz w:val="20"/>
          <w:szCs w:val="20"/>
          <w:color w:val="auto"/>
        </w:rPr>
      </w:pPr>
      <w:r>
        <w:rPr>
          <w:rFonts w:ascii="Times New Roman" w:cs="Times New Roman" w:eastAsia="Times New Roman" w:hAnsi="Times New Roman"/>
          <w:sz w:val="20"/>
          <w:szCs w:val="20"/>
          <w:color w:val="auto"/>
        </w:rPr>
        <w:t>because we now control the Essentia book of business, certain costs incurred by our U.S. MGA subsidiary in support of our risk taking</w:t>
      </w:r>
    </w:p>
    <w:p>
      <w:pPr>
        <w:jc w:val="both"/>
        <w:ind w:right="560"/>
        <w:spacing w:after="0" w:line="215" w:lineRule="auto"/>
        <w:rPr>
          <w:sz w:val="20"/>
          <w:szCs w:val="20"/>
          <w:color w:val="auto"/>
        </w:rPr>
      </w:pPr>
      <w:r>
        <w:rPr>
          <w:rFonts w:ascii="Times New Roman" w:cs="Times New Roman" w:eastAsia="Times New Roman" w:hAnsi="Times New Roman"/>
          <w:sz w:val="19"/>
          <w:szCs w:val="19"/>
          <w:color w:val="auto"/>
        </w:rPr>
        <w:t>activities are classified within "Losses and loss adjustment expenses, net", "Policy acquisition costs, net", and "Underwriting and other insurance expenses". In 2025, prior to assuming control of the Essentia book of business, these costs were categorized within "Selling,</w:t>
      </w:r>
    </w:p>
    <w:p>
      <w:pPr>
        <w:spacing w:after="0"/>
        <w:rPr>
          <w:sz w:val="20"/>
          <w:szCs w:val="20"/>
          <w:color w:val="auto"/>
        </w:rPr>
      </w:pPr>
      <w:r>
        <w:rPr>
          <w:rFonts w:ascii="Times New Roman" w:cs="Times New Roman" w:eastAsia="Times New Roman" w:hAnsi="Times New Roman"/>
          <w:sz w:val="20"/>
          <w:szCs w:val="20"/>
          <w:color w:val="auto"/>
        </w:rPr>
        <w:t>general, and administrative expenses".</w:t>
      </w:r>
    </w:p>
    <w:p>
      <w:pPr>
        <w:sectPr>
          <w:pgSz w:w="11900" w:h="16838" w:orient="portrait"/>
          <w:cols w:equalWidth="0" w:num="1">
            <w:col w:w="11240"/>
          </w:cols>
          <w:pgMar w:left="320" w:top="238"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Marketplace Segment</w:t>
      </w:r>
    </w:p>
    <w:p>
      <w:pPr>
        <w:spacing w:after="0" w:line="220"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0"/>
          <w:szCs w:val="20"/>
          <w:color w:val="auto"/>
        </w:rPr>
        <w:t>The following table summarizes Marketplace segment results of operations for the nine months ended September 30, 2026 and 2025, and the dollar and percentage changes between the two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20"/>
                <w:szCs w:val="20"/>
                <w:color w:val="auto"/>
                <w:w w:val="98"/>
              </w:rPr>
              <w:t>Nine months ended September 30,</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Segment Results: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7"/>
          </w:tcPr>
          <w:p>
            <w:pPr>
              <w:jc w:val="center"/>
              <w:ind w:right="68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Marketplace revenue</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97,474</w:t>
            </w:r>
          </w:p>
        </w:tc>
        <w:tc>
          <w:tcPr>
            <w:tcW w:w="8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90,328</w:t>
            </w:r>
          </w:p>
        </w:tc>
        <w:tc>
          <w:tcPr>
            <w:tcW w:w="80" w:type="dxa"/>
            <w:vAlign w:val="bottom"/>
          </w:tcPr>
          <w:p>
            <w:pPr>
              <w:spacing w:after="0"/>
              <w:rPr>
                <w:sz w:val="22"/>
                <w:szCs w:val="22"/>
                <w:color w:val="auto"/>
              </w:rPr>
            </w:pPr>
          </w:p>
        </w:tc>
        <w:tc>
          <w:tcPr>
            <w:tcW w:w="6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7,146</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0" w:type="dxa"/>
            <w:vAlign w:val="bottom"/>
          </w:tcPr>
          <w:p>
            <w:pPr>
              <w:spacing w:after="0"/>
              <w:rPr>
                <w:sz w:val="1"/>
                <w:szCs w:val="1"/>
                <w:color w:val="auto"/>
              </w:rPr>
            </w:pPr>
          </w:p>
        </w:tc>
      </w:tr>
      <w:tr>
        <w:trPr>
          <w:trHeight w:val="257"/>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60.6 %</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98,431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90,924</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7,507</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8.3 %</w:t>
            </w:r>
          </w:p>
        </w:tc>
        <w:tc>
          <w:tcPr>
            <w:tcW w:w="0" w:type="dxa"/>
            <w:vAlign w:val="bottom"/>
          </w:tcPr>
          <w:p>
            <w:pPr>
              <w:spacing w:after="0"/>
              <w:rPr>
                <w:sz w:val="1"/>
                <w:szCs w:val="1"/>
                <w:color w:val="auto"/>
              </w:rPr>
            </w:pPr>
          </w:p>
        </w:tc>
      </w:tr>
      <w:tr>
        <w:trPr>
          <w:trHeight w:val="23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0" w:type="dxa"/>
            <w:vAlign w:val="bottom"/>
            <w:gridSpan w:val="2"/>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Selling, general, and administrative expenses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98,920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96,571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0" w:type="dxa"/>
            <w:vAlign w:val="bottom"/>
          </w:tcPr>
          <w:p>
            <w:pPr>
              <w:spacing w:after="0"/>
              <w:rPr>
                <w:sz w:val="1"/>
                <w:szCs w:val="1"/>
                <w:color w:val="auto"/>
              </w:rPr>
            </w:pPr>
          </w:p>
        </w:tc>
      </w:tr>
      <w:tr>
        <w:trPr>
          <w:trHeight w:val="257"/>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20"/>
                <w:szCs w:val="20"/>
                <w:color w:val="auto"/>
              </w:rPr>
              <w:t>Total expenses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99,143</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96,947</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2,196</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0" w:type="dxa"/>
            <w:vAlign w:val="bottom"/>
          </w:tcPr>
          <w:p>
            <w:pPr>
              <w:spacing w:after="0"/>
              <w:rPr>
                <w:sz w:val="1"/>
                <w:szCs w:val="1"/>
                <w:color w:val="auto"/>
              </w:rPr>
            </w:pPr>
          </w:p>
        </w:tc>
      </w:tr>
      <w:tr>
        <w:trPr>
          <w:trHeight w:val="275"/>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LOSS BEFORE TAXES</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(6,023)</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5,311</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88.2 %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Aggregate Auction Sales</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351,435</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192,244</w:t>
            </w: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159,191</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82.8 %</w:t>
            </w:r>
          </w:p>
        </w:tc>
        <w:tc>
          <w:tcPr>
            <w:tcW w:w="0" w:type="dxa"/>
            <w:vAlign w:val="bottom"/>
          </w:tcPr>
          <w:p>
            <w:pPr>
              <w:spacing w:after="0"/>
              <w:rPr>
                <w:sz w:val="1"/>
                <w:szCs w:val="1"/>
                <w:color w:val="auto"/>
              </w:rPr>
            </w:pPr>
          </w:p>
        </w:tc>
      </w:tr>
      <w:tr>
        <w:trPr>
          <w:trHeight w:val="257"/>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Auction Sales</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320,307</w:t>
            </w:r>
          </w:p>
        </w:tc>
        <w:tc>
          <w:tcPr>
            <w:tcW w:w="8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174,821</w:t>
            </w:r>
          </w:p>
        </w:tc>
        <w:tc>
          <w:tcPr>
            <w:tcW w:w="80" w:type="dxa"/>
            <w:vAlign w:val="bottom"/>
          </w:tcPr>
          <w:p>
            <w:pPr>
              <w:spacing w:after="0"/>
              <w:rPr>
                <w:sz w:val="22"/>
                <w:szCs w:val="22"/>
                <w:color w:val="auto"/>
              </w:rPr>
            </w:pPr>
          </w:p>
        </w:tc>
        <w:tc>
          <w:tcPr>
            <w:tcW w:w="6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145,486</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83.2 %</w:t>
            </w:r>
          </w:p>
        </w:tc>
        <w:tc>
          <w:tcPr>
            <w:tcW w:w="0" w:type="dxa"/>
            <w:vAlign w:val="bottom"/>
          </w:tcPr>
          <w:p>
            <w:pPr>
              <w:spacing w:after="0"/>
              <w:rPr>
                <w:sz w:val="1"/>
                <w:szCs w:val="1"/>
                <w:color w:val="auto"/>
              </w:rPr>
            </w:pPr>
          </w:p>
        </w:tc>
      </w:tr>
      <w:tr>
        <w:trPr>
          <w:trHeight w:val="257"/>
        </w:trPr>
        <w:tc>
          <w:tcPr>
            <w:tcW w:w="5200" w:type="dxa"/>
            <w:vAlign w:val="bottom"/>
            <w:gridSpan w:val="2"/>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Private Sales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180,876</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221,569</w:t>
            </w: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(40,693)</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BAC Average Loan Portfolio</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145,860</w:t>
            </w:r>
          </w:p>
        </w:tc>
        <w:tc>
          <w:tcPr>
            <w:tcW w:w="8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80,374</w:t>
            </w:r>
          </w:p>
        </w:tc>
        <w:tc>
          <w:tcPr>
            <w:tcW w:w="80" w:type="dxa"/>
            <w:vAlign w:val="bottom"/>
          </w:tcPr>
          <w:p>
            <w:pPr>
              <w:spacing w:after="0"/>
              <w:rPr>
                <w:sz w:val="22"/>
                <w:szCs w:val="22"/>
                <w:color w:val="auto"/>
              </w:rPr>
            </w:pPr>
          </w:p>
        </w:tc>
        <w:tc>
          <w:tcPr>
            <w:tcW w:w="6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65,486</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81.5 %</w:t>
            </w:r>
          </w:p>
        </w:tc>
        <w:tc>
          <w:tcPr>
            <w:tcW w:w="0" w:type="dxa"/>
            <w:vAlign w:val="bottom"/>
          </w:tcPr>
          <w:p>
            <w:pPr>
              <w:spacing w:after="0"/>
              <w:rPr>
                <w:sz w:val="1"/>
                <w:szCs w:val="1"/>
                <w:color w:val="auto"/>
              </w:rPr>
            </w:pPr>
          </w:p>
        </w:tc>
      </w:tr>
      <w:tr>
        <w:trPr>
          <w:trHeight w:val="372"/>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left="661"/>
              <w:spacing w:after="0"/>
              <w:rPr>
                <w:sz w:val="20"/>
                <w:szCs w:val="20"/>
                <w:color w:val="auto"/>
              </w:rPr>
            </w:pPr>
            <w:r>
              <w:rPr>
                <w:rFonts w:ascii="Times New Roman" w:cs="Times New Roman" w:eastAsia="Times New Roman" w:hAnsi="Times New Roman"/>
                <w:sz w:val="20"/>
                <w:szCs w:val="20"/>
                <w:color w:val="auto"/>
                <w:w w:val="98"/>
              </w:rPr>
              <w:t>September 30,</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Operational Metrics: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7"/>
          </w:tcPr>
          <w:p>
            <w:pPr>
              <w:jc w:val="center"/>
              <w:ind w:right="68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BAC Loan Portfolio Balance</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162,254</w:t>
            </w: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100,055</w:t>
            </w: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62,199</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62.2 %</w:t>
            </w:r>
          </w:p>
        </w:tc>
        <w:tc>
          <w:tcPr>
            <w:tcW w:w="0" w:type="dxa"/>
            <w:vAlign w:val="bottom"/>
          </w:tcPr>
          <w:p>
            <w:pPr>
              <w:spacing w:after="0"/>
              <w:rPr>
                <w:sz w:val="1"/>
                <w:szCs w:val="1"/>
                <w:color w:val="auto"/>
              </w:rPr>
            </w:pPr>
          </w:p>
        </w:tc>
      </w:tr>
      <w:tr>
        <w:trPr>
          <w:trHeight w:val="54"/>
        </w:trPr>
        <w:tc>
          <w:tcPr>
            <w:tcW w:w="3820" w:type="dxa"/>
            <w:vAlign w:val="bottom"/>
            <w:tcBorders>
              <w:bottom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20" w:right="260" w:hanging="250"/>
        <w:spacing w:after="0" w:line="186" w:lineRule="auto"/>
        <w:tabs>
          <w:tab w:leader="none" w:pos="455" w:val="left"/>
        </w:tabs>
        <w:numPr>
          <w:ilvl w:val="0"/>
          <w:numId w:val="2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Selling expenses include direct costs associated with the sale of vehicles and memorabilia through auctions and private sales, including the purchase price and associated direct costs of inventory when Broad Arrow opportunistically purchases vehicles to be sold through auctions or private sales, as well as interest expense and borrowing costs associated with the BAC Credit Facility.</w:t>
      </w:r>
    </w:p>
    <w:p>
      <w:pPr>
        <w:ind w:left="420" w:hanging="250"/>
        <w:spacing w:after="0" w:line="191" w:lineRule="auto"/>
        <w:tabs>
          <w:tab w:leader="none" w:pos="455" w:val="left"/>
        </w:tabs>
        <w:numPr>
          <w:ilvl w:val="0"/>
          <w:numId w:val="2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Private Sales is a gross transaction-volume metric that includes both brokered private sales, for which we recognize revenue on a net commission basis, and sales of our inventory, for which we recognize revenue on a gross basis. The decrease in Private Sales is primarily attributable to lower brokered private sale volume compared to the prior year, which included the private sale of a sizable single-owner collection. Because brokered private sales are recognized net, this decline did not have a proportionate impact on Marketplace revenue or income before taxes.</w:t>
      </w:r>
    </w:p>
    <w:p>
      <w:pPr>
        <w:spacing w:after="0" w:line="187"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9"/>
          <w:szCs w:val="19"/>
          <w:color w:val="auto"/>
        </w:rPr>
        <w:t>Loss before taxes for the Marketplace segment was $0.7 million for the nine months ended September 30, 2026, an improvement of $5.3 million compared to 2025. Current period results reflect an 83.2% increase in Net Auction Sales, which is driven by strong year-over-year</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growth in each of Broad Arrow's signature auctions, including The Amelia in March, the Concorso d'Eleganza Villa d'Este in May, and The Quail, which was held during Monterey Car Week in August. To a lesser extent, the increase in auction revenue is also due to the inaugural</w:t>
      </w:r>
    </w:p>
    <w:p>
      <w:pPr>
        <w:spacing w:after="0" w:line="211" w:lineRule="auto"/>
        <w:rPr>
          <w:sz w:val="20"/>
          <w:szCs w:val="20"/>
          <w:color w:val="auto"/>
        </w:rPr>
      </w:pPr>
      <w:r>
        <w:rPr>
          <w:rFonts w:ascii="Times New Roman" w:cs="Times New Roman" w:eastAsia="Times New Roman" w:hAnsi="Times New Roman"/>
          <w:sz w:val="20"/>
          <w:szCs w:val="20"/>
          <w:color w:val="auto"/>
        </w:rPr>
        <w:t>Global Icons online auction during the Salon Retromobile week in Paris in February, and the inaugural Spring Global Icons auction in May.</w:t>
      </w:r>
    </w:p>
    <w:p>
      <w:pPr>
        <w:ind w:right="20"/>
        <w:spacing w:after="0" w:line="215" w:lineRule="auto"/>
        <w:rPr>
          <w:sz w:val="20"/>
          <w:szCs w:val="20"/>
          <w:color w:val="auto"/>
        </w:rPr>
      </w:pPr>
      <w:r>
        <w:rPr>
          <w:rFonts w:ascii="Times New Roman" w:cs="Times New Roman" w:eastAsia="Times New Roman" w:hAnsi="Times New Roman"/>
          <w:sz w:val="19"/>
          <w:szCs w:val="19"/>
          <w:color w:val="auto"/>
        </w:rPr>
        <w:t>Lastly, the increase in Marketplace segment results is due, in part, to an increase in finance revenue, reflecting the 81.5% increase in the BAC Average Loan Portfolio Balance during the period, which was enabled by the upsizing of the BAC Credit Facility in the fourth quarter of</w:t>
      </w: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and other, net</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03"/>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right="700"/>
              <w:spacing w:after="0"/>
              <w:rPr>
                <w:sz w:val="20"/>
                <w:szCs w:val="20"/>
                <w:color w:val="auto"/>
              </w:rPr>
            </w:pPr>
            <w:r>
              <w:rPr>
                <w:rFonts w:ascii="Times New Roman" w:cs="Times New Roman" w:eastAsia="Times New Roman" w:hAnsi="Times New Roman"/>
                <w:sz w:val="20"/>
                <w:szCs w:val="20"/>
                <w:color w:val="auto"/>
                <w:w w:val="98"/>
              </w:rPr>
              <w:t>Nine months ended September 30,</w:t>
            </w:r>
          </w:p>
        </w:tc>
        <w:tc>
          <w:tcPr>
            <w:tcW w:w="940" w:type="dxa"/>
            <w:vAlign w:val="bottom"/>
            <w:tcBorders>
              <w:bottom w:val="single" w:sz="8" w:color="auto"/>
            </w:tcBorders>
          </w:tcPr>
          <w:p>
            <w:pPr>
              <w:spacing w:after="0"/>
              <w:rPr>
                <w:sz w:val="24"/>
                <w:szCs w:val="24"/>
                <w:color w:val="auto"/>
              </w:rPr>
            </w:pPr>
          </w:p>
        </w:tc>
      </w:tr>
      <w:tr>
        <w:trPr>
          <w:trHeight w:val="254"/>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20"/>
                <w:szCs w:val="20"/>
                <w:color w:val="auto"/>
              </w:rPr>
              <w:t>Change</w:t>
            </w:r>
          </w:p>
        </w:tc>
        <w:tc>
          <w:tcPr>
            <w:tcW w:w="940" w:type="dxa"/>
            <w:vAlign w:val="bottom"/>
            <w:tcBorders>
              <w:bottom w:val="single" w:sz="8" w:color="auto"/>
            </w:tcBorders>
          </w:tcPr>
          <w:p>
            <w:pPr>
              <w:spacing w:after="0"/>
              <w:rPr>
                <w:sz w:val="22"/>
                <w:szCs w:val="22"/>
                <w:color w:val="auto"/>
              </w:rPr>
            </w:pPr>
          </w:p>
        </w:tc>
      </w:tr>
      <w:tr>
        <w:trPr>
          <w:trHeight w:val="287"/>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6"/>
          </w:tcPr>
          <w:p>
            <w:pPr>
              <w:jc w:val="center"/>
              <w:ind w:right="700"/>
              <w:spacing w:after="0"/>
              <w:rPr>
                <w:sz w:val="20"/>
                <w:szCs w:val="20"/>
                <w:color w:val="auto"/>
              </w:rPr>
            </w:pPr>
            <w:r>
              <w:rPr>
                <w:rFonts w:ascii="Times New Roman" w:cs="Times New Roman" w:eastAsia="Times New Roman" w:hAnsi="Times New Roman"/>
                <w:sz w:val="20"/>
                <w:szCs w:val="20"/>
                <w:i w:val="1"/>
                <w:iCs w:val="1"/>
                <w:color w:val="auto"/>
                <w:w w:val="98"/>
              </w:rPr>
              <w:t>in thousands (except percentages)</w:t>
            </w:r>
          </w:p>
        </w:tc>
        <w:tc>
          <w:tcPr>
            <w:tcW w:w="940" w:type="dxa"/>
            <w:vAlign w:val="bottom"/>
          </w:tcPr>
          <w:p>
            <w:pPr>
              <w:spacing w:after="0"/>
              <w:rPr>
                <w:sz w:val="24"/>
                <w:szCs w:val="24"/>
                <w:color w:val="auto"/>
              </w:rPr>
            </w:pPr>
          </w:p>
        </w:tc>
      </w:tr>
      <w:tr>
        <w:trPr>
          <w:trHeight w:val="26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Amortization of deferred LPT gain</w:t>
            </w:r>
          </w:p>
        </w:tc>
        <w:tc>
          <w:tcPr>
            <w:tcW w:w="1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jc w:val="center"/>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(4,478)</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57"/>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Expense related to TRA Liability</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32,275</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(32,275)</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5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expense</w:t>
            </w:r>
          </w:p>
        </w:tc>
        <w:tc>
          <w:tcPr>
            <w:tcW w:w="13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20.4 %</w:t>
            </w:r>
          </w:p>
        </w:tc>
      </w:tr>
      <w:tr>
        <w:trPr>
          <w:trHeight w:val="275"/>
        </w:trPr>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39,038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center"/>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(37,202)</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Amortization of deferred LPT gain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nine months ended September 30, 2026, amortization of the deferred gain associated with the LPT Agreement was $4.5 million, with</w:t>
      </w:r>
    </w:p>
    <w:p>
      <w:pPr>
        <w:spacing w:after="0" w:line="6"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no comparable amount in the prior year period. The LPT Agreement became effective on January 1, 2026 in connection with the Markel Fronting Arrangement, and the associated deferred gain is being recognized within "Interest expense and other, net" over the expected period</w:t>
      </w:r>
    </w:p>
    <w:p>
      <w:pPr>
        <w:ind w:right="700"/>
        <w:spacing w:after="0" w:line="228" w:lineRule="auto"/>
        <w:rPr>
          <w:sz w:val="20"/>
          <w:szCs w:val="20"/>
          <w:color w:val="auto"/>
        </w:rPr>
      </w:pPr>
      <w:r>
        <w:rPr>
          <w:rFonts w:ascii="Times New Roman" w:cs="Times New Roman" w:eastAsia="Times New Roman" w:hAnsi="Times New Roman"/>
          <w:sz w:val="20"/>
          <w:szCs w:val="20"/>
          <w:color w:val="auto"/>
        </w:rPr>
        <w:t>of future claim payments. Refer to Note 3 — Markel Fronting Arrangement in Item 1 of Part I of this Quarterly Report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nine months ended September 30, 2026, interest expense decreased $0.6 million compared to 2025. This decrease is the result of a</w:t>
      </w:r>
    </w:p>
    <w:p>
      <w:pPr>
        <w:spacing w:after="0" w:line="6" w:lineRule="exact"/>
        <w:rPr>
          <w:sz w:val="20"/>
          <w:szCs w:val="20"/>
          <w:color w:val="auto"/>
        </w:rPr>
      </w:pPr>
    </w:p>
    <w:p>
      <w:pPr>
        <w:ind w:right="940"/>
        <w:spacing w:after="0" w:line="221" w:lineRule="auto"/>
        <w:rPr>
          <w:sz w:val="20"/>
          <w:szCs w:val="20"/>
          <w:color w:val="auto"/>
        </w:rPr>
      </w:pPr>
      <w:r>
        <w:rPr>
          <w:rFonts w:ascii="Times New Roman" w:cs="Times New Roman" w:eastAsia="Times New Roman" w:hAnsi="Times New Roman"/>
          <w:sz w:val="20"/>
          <w:szCs w:val="20"/>
          <w:color w:val="auto"/>
        </w:rPr>
        <w:t>lower interest rate incurred on JPM Credit Facility borrowings, partially offset by a higher average balance of JPM Credit Facility borrowings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Expense related to TRA Liability</w:t>
      </w:r>
    </w:p>
    <w:p>
      <w:pPr>
        <w:spacing w:after="0" w:line="220"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During the nine months ended September 30, 2025, we recorded expense related to the TRA Liability of $32.3 million, principally due to the remeasurement of the TRA Liability. In the third quarter of 2025, we updated our assessment of forecasted future taxable income. Based on</w:t>
      </w:r>
    </w:p>
    <w:p>
      <w:pPr>
        <w:spacing w:after="0" w:line="222" w:lineRule="auto"/>
        <w:rPr>
          <w:sz w:val="20"/>
          <w:szCs w:val="20"/>
          <w:color w:val="auto"/>
        </w:rPr>
      </w:pPr>
      <w:r>
        <w:rPr>
          <w:rFonts w:ascii="Times New Roman" w:cs="Times New Roman" w:eastAsia="Times New Roman" w:hAnsi="Times New Roman"/>
          <w:sz w:val="19"/>
          <w:szCs w:val="19"/>
          <w:color w:val="auto"/>
        </w:rPr>
        <w:t>this assessment, we determined that it was appropriate to release a portion of the valuation allowance previously recorded against our federal</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and state deferred tax assets. We also remeasured the TRA Liability to reflect updated estimates of future payments under the TRA based on forecasted taxable income. This remeasurement resulted in an expense of $29.2 million, recorded within "Interest expense and other, net" in</w:t>
      </w:r>
    </w:p>
    <w:p>
      <w:pPr>
        <w:ind w:right="820"/>
        <w:spacing w:after="0" w:line="221" w:lineRule="auto"/>
        <w:rPr>
          <w:sz w:val="20"/>
          <w:szCs w:val="20"/>
          <w:color w:val="auto"/>
        </w:rPr>
      </w:pPr>
      <w:r>
        <w:rPr>
          <w:rFonts w:ascii="Times New Roman" w:cs="Times New Roman" w:eastAsia="Times New Roman" w:hAnsi="Times New Roman"/>
          <w:sz w:val="20"/>
          <w:szCs w:val="20"/>
          <w:color w:val="auto"/>
        </w:rPr>
        <w:t>the Condensed Consolidated Statements of Operations. Refer to Note 19 — Taxation in Item 1 of Part I of this Quarterly Report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 benefit</w:t>
      </w:r>
    </w:p>
    <w:p>
      <w:pPr>
        <w:spacing w:after="0" w:line="220"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We are the sole managing member of THG, and as a result, consolidate its financial results. THG is treated as a partnership for U.S. federal and most applicable state and local income tax purposes. As a partnership, THG is not subject to U.S. federal and certain state and local</w:t>
      </w:r>
    </w:p>
    <w:p>
      <w:pPr>
        <w:spacing w:after="0" w:line="211" w:lineRule="auto"/>
        <w:rPr>
          <w:sz w:val="20"/>
          <w:szCs w:val="20"/>
          <w:color w:val="auto"/>
        </w:rPr>
      </w:pPr>
      <w:r>
        <w:rPr>
          <w:rFonts w:ascii="Times New Roman" w:cs="Times New Roman" w:eastAsia="Times New Roman" w:hAnsi="Times New Roman"/>
          <w:sz w:val="20"/>
          <w:szCs w:val="20"/>
          <w:color w:val="auto"/>
        </w:rPr>
        <w:t>income taxes. Any taxable income or loss generated by THG is passed through and included in the taxable income or loss of its members,</w:t>
      </w:r>
    </w:p>
    <w:p>
      <w:pPr>
        <w:spacing w:after="0" w:line="1" w:lineRule="exact"/>
        <w:rPr>
          <w:sz w:val="20"/>
          <w:szCs w:val="20"/>
          <w:color w:val="auto"/>
        </w:rPr>
      </w:pPr>
    </w:p>
    <w:p>
      <w:pPr>
        <w:jc w:val="both"/>
        <w:ind w:right="200"/>
        <w:spacing w:after="0" w:line="215" w:lineRule="auto"/>
        <w:rPr>
          <w:sz w:val="20"/>
          <w:szCs w:val="20"/>
          <w:color w:val="auto"/>
        </w:rPr>
      </w:pPr>
      <w:r>
        <w:rPr>
          <w:rFonts w:ascii="Times New Roman" w:cs="Times New Roman" w:eastAsia="Times New Roman" w:hAnsi="Times New Roman"/>
          <w:sz w:val="19"/>
          <w:szCs w:val="19"/>
          <w:color w:val="auto"/>
        </w:rPr>
        <w:t>including Hagerty, Inc., on a pro rata basis. Hagerty, Inc. is subject to U.S. federal, state and local income taxes with respect to its allocable share of any taxable income or loss of THG, as well as any of its stand-alone income or loss. In addition, Hagerty Insurance Holdings, Inc.,</w:t>
      </w:r>
    </w:p>
    <w:p>
      <w:pPr>
        <w:ind w:right="40"/>
        <w:spacing w:after="0" w:line="228" w:lineRule="auto"/>
        <w:rPr>
          <w:sz w:val="20"/>
          <w:szCs w:val="20"/>
          <w:color w:val="auto"/>
        </w:rPr>
      </w:pPr>
      <w:r>
        <w:rPr>
          <w:rFonts w:ascii="Times New Roman" w:cs="Times New Roman" w:eastAsia="Times New Roman" w:hAnsi="Times New Roman"/>
          <w:sz w:val="20"/>
          <w:szCs w:val="20"/>
          <w:color w:val="auto"/>
        </w:rPr>
        <w:t>Broad Arrow, Hagerty Radwood, Inc., and various foreign subsidiaries are treated as taxable entities. Hagerty Insurance Holdings, Inc. files a consolidated tax return with its wholly owned corporate subsidiaries Hagerty Re and Drivers Edge.</w:t>
      </w:r>
    </w:p>
    <w:p>
      <w:pPr>
        <w:spacing w:after="0" w:line="176"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9"/>
          <w:szCs w:val="19"/>
          <w:color w:val="auto"/>
        </w:rPr>
        <w:t>During each reporting period, we consider new evidence, both positive and negative, that could affect our view of the realizability of our deferred tax assets. In the third quarter of 2025, our continued assessment of the realizability of our deferred tax assets concluded that</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sufficient sources of future taxable income will be generated to realize a portion of the deferred tax assets related to the outside basis in Hagerty, Inc.'s investment in THG and other tax attributes of the Hagerty, Inc. filing entity. In assessing the realizability of these deferred tax</w:t>
      </w:r>
    </w:p>
    <w:p>
      <w:pPr>
        <w:spacing w:after="0" w:line="211" w:lineRule="auto"/>
        <w:rPr>
          <w:sz w:val="20"/>
          <w:szCs w:val="20"/>
          <w:color w:val="auto"/>
        </w:rPr>
      </w:pPr>
      <w:r>
        <w:rPr>
          <w:rFonts w:ascii="Times New Roman" w:cs="Times New Roman" w:eastAsia="Times New Roman" w:hAnsi="Times New Roman"/>
          <w:sz w:val="20"/>
          <w:szCs w:val="20"/>
          <w:color w:val="auto"/>
        </w:rPr>
        <w:t>assets, we considered all sources of positive and negative evidence, including (i) that we achieved cumulative three-year profitability during</w:t>
      </w:r>
    </w:p>
    <w:p>
      <w:pPr>
        <w:ind w:right="280"/>
        <w:spacing w:after="0" w:line="215" w:lineRule="auto"/>
        <w:rPr>
          <w:sz w:val="20"/>
          <w:szCs w:val="20"/>
          <w:color w:val="auto"/>
        </w:rPr>
      </w:pPr>
      <w:r>
        <w:rPr>
          <w:rFonts w:ascii="Times New Roman" w:cs="Times New Roman" w:eastAsia="Times New Roman" w:hAnsi="Times New Roman"/>
          <w:sz w:val="19"/>
          <w:szCs w:val="19"/>
          <w:color w:val="auto"/>
        </w:rPr>
        <w:t>the quarter; (ii) that our forecasts indicated continued profitability; and (iii) other positive business factors. Based on this evaluation, we determined it was appropriate to release a portion of the valuation allowance previously recorded against our federal and state deferred tax</w:t>
      </w:r>
    </w:p>
    <w:p>
      <w:pPr>
        <w:ind w:right="580"/>
        <w:spacing w:after="0" w:line="228" w:lineRule="auto"/>
        <w:rPr>
          <w:sz w:val="20"/>
          <w:szCs w:val="20"/>
          <w:color w:val="auto"/>
        </w:rPr>
      </w:pPr>
      <w:r>
        <w:rPr>
          <w:rFonts w:ascii="Times New Roman" w:cs="Times New Roman" w:eastAsia="Times New Roman" w:hAnsi="Times New Roman"/>
          <w:sz w:val="20"/>
          <w:szCs w:val="20"/>
          <w:color w:val="auto"/>
        </w:rPr>
        <w:t>assets. As a result, $37.3 million of this valuation allowance was released in the third quarter of 2025 with a corresponding income tax benefit recognized in the Condensed Consolidated Statements of Operations.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nine months ended September 30, 2026, we recorded an income tax benefit of $8.9 million, resulting in an effective tax rate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(39.1)%, compared to an income tax benefit of $21.2 million in the prior year, resulting in an effective tax rate of (21.4)%. The comparison to the prior year period is significantly influenced by the $37.3 million income tax benefit recorded in the third quarter of 2025 to release a</w:t>
      </w:r>
    </w:p>
    <w:p>
      <w:pPr>
        <w:spacing w:after="0" w:line="211" w:lineRule="auto"/>
        <w:rPr>
          <w:sz w:val="20"/>
          <w:szCs w:val="20"/>
          <w:color w:val="auto"/>
        </w:rPr>
      </w:pPr>
      <w:r>
        <w:rPr>
          <w:rFonts w:ascii="Times New Roman" w:cs="Times New Roman" w:eastAsia="Times New Roman" w:hAnsi="Times New Roman"/>
          <w:sz w:val="20"/>
          <w:szCs w:val="20"/>
          <w:color w:val="auto"/>
        </w:rPr>
        <w:t>portion of the valuation allowance recorded against our deferred tax assets, as discussed above. The remainder of the change in income tax</w:t>
      </w:r>
    </w:p>
    <w:p>
      <w:pPr>
        <w:spacing w:after="0" w:line="1"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19"/>
          <w:szCs w:val="19"/>
          <w:color w:val="auto"/>
        </w:rPr>
        <w:t>benefit is driven by non-reversing temporary differences between taxable income and pre-tax book income related to the Markel Fronting Arrangement, partially offset by higher earnings in Hagerty Re and an increase in Hagerty, Inc.'s allocable share of income from THG.</w:t>
      </w:r>
    </w:p>
    <w:p>
      <w:pPr>
        <w:spacing w:after="0" w:line="188"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20"/>
          <w:szCs w:val="20"/>
          <w:color w:val="auto"/>
        </w:rPr>
        <w:t>Refer to Note 19 — Taxation in Item 1 of Part I of this Quarterly Report for additional information with respect to items affecting our effective tax 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w:t>
      </w:r>
    </w:p>
    <w:p>
      <w:pPr>
        <w:spacing w:after="0" w:line="220"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9"/>
          <w:szCs w:val="19"/>
          <w:color w:val="auto"/>
        </w:rPr>
        <w:t>We define EBITDA as consolidated Net income, excluding Interest expense and other, net, Income tax expense (benefit), and Depreciation and amortization. We define Adjusted EBITDA as EBITDA, further adjusted to (i) exclude net investment gains and losses; (ii) deduct</w:t>
      </w:r>
    </w:p>
    <w:p>
      <w:pPr>
        <w:spacing w:after="0" w:line="211" w:lineRule="auto"/>
        <w:rPr>
          <w:sz w:val="20"/>
          <w:szCs w:val="20"/>
          <w:color w:val="auto"/>
        </w:rPr>
      </w:pPr>
      <w:r>
        <w:rPr>
          <w:rFonts w:ascii="Times New Roman" w:cs="Times New Roman" w:eastAsia="Times New Roman" w:hAnsi="Times New Roman"/>
          <w:sz w:val="20"/>
          <w:szCs w:val="20"/>
          <w:color w:val="auto"/>
        </w:rPr>
        <w:t>interest expense related to the State Farm Term Loan; (iii) exclude share-based compensation expense; and when applicable, exclude (iv)</w:t>
      </w:r>
    </w:p>
    <w:p>
      <w:pPr>
        <w:spacing w:after="0" w:line="1"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20"/>
          <w:szCs w:val="20"/>
          <w:color w:val="auto"/>
        </w:rPr>
        <w:t>restructuring, impairment and related charges; (v) gains, losses and impairments related to divestitures; and (vi) certain other unusual items, such as Markel Fronting Arrangement transitional costs incurred during the three and nine months ended September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This Measure is Useful</w:t>
      </w:r>
    </w:p>
    <w:p>
      <w:pPr>
        <w:spacing w:after="0" w:line="220"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9"/>
          <w:szCs w:val="19"/>
          <w:color w:val="auto"/>
        </w:rPr>
        <w:t>When used in conjunction with GAAP financial measures, Adjusted EBITDA is a supplemental measure of operating performance that we believe is a useful measure to evaluate our performance period over period and relative to our competitors and peers. Management uses</w:t>
      </w:r>
    </w:p>
    <w:p>
      <w:pPr>
        <w:spacing w:after="0" w:line="215" w:lineRule="auto"/>
        <w:rPr>
          <w:sz w:val="20"/>
          <w:szCs w:val="20"/>
          <w:color w:val="auto"/>
        </w:rPr>
      </w:pPr>
      <w:r>
        <w:rPr>
          <w:rFonts w:ascii="Times New Roman" w:cs="Times New Roman" w:eastAsia="Times New Roman" w:hAnsi="Times New Roman"/>
          <w:sz w:val="19"/>
          <w:szCs w:val="19"/>
          <w:color w:val="auto"/>
        </w:rPr>
        <w:t>Adjusted EBITDA to evaluate our operating performance on a consistent basis, as it removes the impact of items not directly resulting from our core operations. We believe the presentation of Adjusted EBITDA provides securities analysts, investors, and other interested parties with</w:t>
      </w:r>
    </w:p>
    <w:p>
      <w:pPr>
        <w:ind w:right="120"/>
        <w:spacing w:after="0" w:line="228" w:lineRule="auto"/>
        <w:rPr>
          <w:sz w:val="20"/>
          <w:szCs w:val="20"/>
          <w:color w:val="auto"/>
        </w:rPr>
      </w:pPr>
      <w:r>
        <w:rPr>
          <w:rFonts w:ascii="Times New Roman" w:cs="Times New Roman" w:eastAsia="Times New Roman" w:hAnsi="Times New Roman"/>
          <w:sz w:val="20"/>
          <w:szCs w:val="20"/>
          <w:color w:val="auto"/>
        </w:rPr>
        <w:t>a supplemental view of our operating performance that enhances their understanding of our business and our results of operations, as well as assisting investors in evaluating how well we are executing our strategic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Limitations of the Usefulness of This Measure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may differ from similarly titled measures used by other companies due to different methods of calculation, which could</w:t>
      </w:r>
    </w:p>
    <w:p>
      <w:pPr>
        <w:ind w:right="240"/>
        <w:spacing w:after="0" w:line="215" w:lineRule="auto"/>
        <w:rPr>
          <w:sz w:val="20"/>
          <w:szCs w:val="20"/>
          <w:color w:val="auto"/>
        </w:rPr>
      </w:pPr>
      <w:r>
        <w:rPr>
          <w:rFonts w:ascii="Times New Roman" w:cs="Times New Roman" w:eastAsia="Times New Roman" w:hAnsi="Times New Roman"/>
          <w:sz w:val="19"/>
          <w:szCs w:val="19"/>
          <w:color w:val="auto"/>
        </w:rPr>
        <w:t>reduce the usefulness of this non-GAAP financial measure when comparing our performance to that of other companies. Presentation of Adjusted EBITDA should not be considered in isolation or a substitute for, or superior to, the financial information prepared in accordance</w:t>
      </w:r>
    </w:p>
    <w:p>
      <w:pPr>
        <w:spacing w:after="0"/>
        <w:rPr>
          <w:sz w:val="20"/>
          <w:szCs w:val="20"/>
          <w:color w:val="auto"/>
        </w:rPr>
      </w:pPr>
      <w:r>
        <w:rPr>
          <w:rFonts w:ascii="Times New Roman" w:cs="Times New Roman" w:eastAsia="Times New Roman" w:hAnsi="Times New Roman"/>
          <w:sz w:val="20"/>
          <w:szCs w:val="20"/>
          <w:color w:val="auto"/>
        </w:rPr>
        <w:t>with GAAP. A reconciliation of Adjusted EBITDA to Net income (loss), the most directly comparable GAAP measure, is presented below.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7"/>
              </w:rPr>
              <w:t>Three months ended</w:t>
            </w:r>
          </w:p>
        </w:tc>
        <w:tc>
          <w:tcPr>
            <w:tcW w:w="480" w:type="dxa"/>
            <w:vAlign w:val="bottom"/>
          </w:tcPr>
          <w:p>
            <w:pPr>
              <w:spacing w:after="0"/>
              <w:rPr>
                <w:sz w:val="19"/>
                <w:szCs w:val="19"/>
                <w:color w:val="auto"/>
              </w:rPr>
            </w:pPr>
          </w:p>
        </w:tc>
        <w:tc>
          <w:tcPr>
            <w:tcW w:w="230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52"/>
        </w:trPr>
        <w:tc>
          <w:tcPr>
            <w:tcW w:w="4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rPr>
              <w:t>September 30,</w:t>
            </w:r>
          </w:p>
        </w:tc>
        <w:tc>
          <w:tcPr>
            <w:tcW w:w="480" w:type="dxa"/>
            <w:vAlign w:val="bottom"/>
          </w:tcPr>
          <w:p>
            <w:pPr>
              <w:spacing w:after="0"/>
              <w:rPr>
                <w:sz w:val="21"/>
                <w:szCs w:val="21"/>
                <w:color w:val="auto"/>
              </w:rPr>
            </w:pPr>
          </w:p>
        </w:tc>
        <w:tc>
          <w:tcPr>
            <w:tcW w:w="230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r>
      <w:tr>
        <w:trPr>
          <w:trHeight w:val="250"/>
        </w:trPr>
        <w:tc>
          <w:tcPr>
            <w:tcW w:w="4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w w:val="94"/>
              </w:rPr>
              <w:t>2026</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r>
      <w:tr>
        <w:trPr>
          <w:trHeight w:val="287"/>
        </w:trPr>
        <w:tc>
          <w:tcPr>
            <w:tcW w:w="4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1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36,269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46,171</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31,565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120,666</w:t>
            </w:r>
          </w:p>
        </w:tc>
      </w:tr>
      <w:tr>
        <w:trPr>
          <w:trHeight w:val="256"/>
        </w:trPr>
        <w:tc>
          <w:tcPr>
            <w:tcW w:w="4320" w:type="dxa"/>
            <w:vAlign w:val="bottom"/>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Interest expense and other, net </w:t>
            </w:r>
            <w:r>
              <w:rPr>
                <w:rFonts w:ascii="Times New Roman" w:cs="Times New Roman" w:eastAsia="Times New Roman" w:hAnsi="Times New Roman"/>
                <w:sz w:val="25"/>
                <w:szCs w:val="25"/>
                <w:color w:val="auto"/>
                <w:vertAlign w:val="superscript"/>
              </w:rPr>
              <w:t>(1)</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32,403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39,038</w:t>
            </w:r>
          </w:p>
        </w:tc>
      </w:tr>
      <w:tr>
        <w:trPr>
          <w:trHeight w:val="257"/>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5,130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(32,834)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(8,871)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(21,184)</w:t>
            </w:r>
          </w:p>
        </w:tc>
      </w:tr>
      <w:tr>
        <w:trPr>
          <w:trHeight w:val="257"/>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3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9,791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9,413</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29,213</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27,734</w:t>
            </w:r>
          </w:p>
        </w:tc>
      </w:tr>
      <w:tr>
        <w:trPr>
          <w:trHeight w:val="25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EBITDA</w:t>
            </w: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52,076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55,153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53,743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166,254</w:t>
            </w:r>
          </w:p>
        </w:tc>
      </w:tr>
      <w:tr>
        <w:trPr>
          <w:trHeight w:val="257"/>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investment gains</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w:t>
            </w:r>
          </w:p>
        </w:tc>
      </w:tr>
      <w:tr>
        <w:trPr>
          <w:trHeight w:val="256"/>
        </w:trPr>
        <w:tc>
          <w:tcPr>
            <w:tcW w:w="4320" w:type="dxa"/>
            <w:vAlign w:val="bottom"/>
            <w:shd w:val="clear" w:color="auto" w:fill="CCEEFF"/>
          </w:tcPr>
          <w:p>
            <w:pPr>
              <w:ind w:left="180"/>
              <w:spacing w:after="0" w:line="257" w:lineRule="exact"/>
              <w:rPr>
                <w:sz w:val="20"/>
                <w:szCs w:val="20"/>
                <w:color w:val="auto"/>
              </w:rPr>
            </w:pPr>
            <w:r>
              <w:rPr>
                <w:rFonts w:ascii="Times New Roman" w:cs="Times New Roman" w:eastAsia="Times New Roman" w:hAnsi="Times New Roman"/>
                <w:sz w:val="20"/>
                <w:szCs w:val="20"/>
                <w:color w:val="auto"/>
                <w:w w:val="97"/>
              </w:rPr>
              <w:t xml:space="preserve">Interest expense related to State Farm Term Loan </w:t>
            </w:r>
            <w:r>
              <w:rPr>
                <w:rFonts w:ascii="Times New Roman" w:cs="Times New Roman" w:eastAsia="Times New Roman" w:hAnsi="Times New Roman"/>
                <w:sz w:val="25"/>
                <w:szCs w:val="25"/>
                <w:color w:val="auto"/>
                <w:w w:val="97"/>
                <w:vertAlign w:val="superscript"/>
              </w:rPr>
              <w:t>(2)</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(1,545)</w:t>
            </w:r>
          </w:p>
        </w:tc>
      </w:tr>
      <w:tr>
        <w:trPr>
          <w:trHeight w:val="257"/>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14,627</w:t>
            </w:r>
          </w:p>
        </w:tc>
      </w:tr>
      <w:tr>
        <w:trPr>
          <w:trHeight w:val="257"/>
        </w:trPr>
        <w:tc>
          <w:tcPr>
            <w:tcW w:w="4320" w:type="dxa"/>
            <w:vAlign w:val="bottom"/>
            <w:shd w:val="clear" w:color="auto" w:fill="CCEEFF"/>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Markel Fronting Arrangement transitional costs </w:t>
            </w:r>
            <w:r>
              <w:rPr>
                <w:rFonts w:ascii="Times New Roman" w:cs="Times New Roman" w:eastAsia="Times New Roman" w:hAnsi="Times New Roman"/>
                <w:sz w:val="25"/>
                <w:szCs w:val="25"/>
                <w:color w:val="auto"/>
                <w:vertAlign w:val="superscript"/>
              </w:rPr>
              <w:t>(3)</w:t>
            </w: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35,836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188,905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320" w:type="dxa"/>
            <w:vAlign w:val="bottom"/>
            <w:tcBorders>
              <w:bottom w:val="single" w:sz="8" w:color="CCEEFF"/>
            </w:tcBorders>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Other unusual items </w:t>
            </w:r>
            <w:r>
              <w:rPr>
                <w:rFonts w:ascii="Times New Roman" w:cs="Times New Roman" w:eastAsia="Times New Roman" w:hAnsi="Times New Roman"/>
                <w:sz w:val="25"/>
                <w:szCs w:val="25"/>
                <w:color w:val="auto"/>
                <w:vertAlign w:val="superscript"/>
              </w:rPr>
              <w:t>(4)</w:t>
            </w:r>
          </w:p>
        </w:tc>
        <w:tc>
          <w:tcPr>
            <w:tcW w:w="13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6,353</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2,961</w:t>
            </w:r>
          </w:p>
        </w:tc>
      </w:tr>
      <w:tr>
        <w:trPr>
          <w:trHeight w:val="27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EBITDA</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97,051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59,351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256,741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180,147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40" w:hanging="250"/>
        <w:spacing w:after="0" w:line="183" w:lineRule="auto"/>
        <w:tabs>
          <w:tab w:leader="none" w:pos="455"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Excludes interest expense related to the BAC Credit Facility, which is recorded within "Selling, general, and administrative expenses" in the Condensed Consolidated Statements of Operations.</w:t>
      </w:r>
    </w:p>
    <w:p>
      <w:pPr>
        <w:ind w:left="420" w:right="80" w:hanging="250"/>
        <w:spacing w:after="0" w:line="180" w:lineRule="auto"/>
        <w:tabs>
          <w:tab w:leader="none" w:pos="455"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Interest expense related to the State Farm Term Loan is charged against Adjusted EBITDA as it is directly attributable to the operations of Hagerty Re. Refer to Note 14 — Debt and Note 20 — Related-Party Transactions in Item 1 of Part I of this Quarterly Report for additional information.</w:t>
      </w:r>
    </w:p>
    <w:p>
      <w:pPr>
        <w:spacing w:after="0" w:line="1" w:lineRule="exact"/>
        <w:rPr>
          <w:rFonts w:ascii="Times New Roman" w:cs="Times New Roman" w:eastAsia="Times New Roman" w:hAnsi="Times New Roman"/>
          <w:sz w:val="24"/>
          <w:szCs w:val="24"/>
          <w:color w:val="auto"/>
          <w:vertAlign w:val="superscript"/>
        </w:rPr>
      </w:pPr>
    </w:p>
    <w:p>
      <w:pPr>
        <w:ind w:left="420" w:right="20" w:hanging="250"/>
        <w:spacing w:after="0" w:line="198" w:lineRule="auto"/>
        <w:tabs>
          <w:tab w:leader="none" w:pos="455"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the amortization of deferred ceding commissions paid to Markel for policies written prior to January 1, 2026. These costs relate exclusively to policies written prior to our entry into the Markel Fronting Arrangement and are being fully amortized ratably over the remaining term of those policies through December 31, 2026. The amortization of these deferred ceding commissions was $89.0 million in the first quarter of 2026, $64.1 million in the second quarter of 2026, $35.8 million in the third quarter of 2026, and we expect it to decline to approximately $10.0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w:t>
      </w:r>
    </w:p>
    <w:p>
      <w:pPr>
        <w:spacing w:after="0" w:line="3" w:lineRule="exact"/>
        <w:rPr>
          <w:rFonts w:ascii="Times New Roman" w:cs="Times New Roman" w:eastAsia="Times New Roman" w:hAnsi="Times New Roman"/>
          <w:sz w:val="26"/>
          <w:szCs w:val="26"/>
          <w:color w:val="auto"/>
          <w:vertAlign w:val="superscript"/>
        </w:rPr>
      </w:pPr>
    </w:p>
    <w:p>
      <w:pPr>
        <w:ind w:left="420" w:right="40" w:hanging="250"/>
        <w:spacing w:after="0" w:line="207" w:lineRule="auto"/>
        <w:tabs>
          <w:tab w:leader="none" w:pos="455"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For the nine months ended September 30, 2026, other unusual items includes: (i) a loss related to the write-down of certain fixed assets classified as held-for-sale; (ii) the impairment of certain operating lease right-of-use assets; (iii) professional fees related to the acquisition of Bennetts, as well as the 2026 THG Unit Exchange and related secondary offering; and (iv) additional severance expenses associated with the actions taken in the fourth quarter of 2025. For the nine months ended September 30, 2025, other unusual items includes certain legal settlement expenses, professional fees associated with the 2025 THG Unit Exchange and related secondary offering, and certain material severance expenses.</w:t>
      </w:r>
    </w:p>
    <w:p>
      <w:pPr>
        <w:spacing w:after="0" w:line="187"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As a result of our transition to Article 7 reporting standards, Net investment income is reported as a component of revenue and is no longer an adjustment in our reconciliation from Net income to Adjusted EBITDA. In addition, interest expense related to the State Farm Term Loan</w:t>
      </w:r>
    </w:p>
    <w:p>
      <w:pPr>
        <w:spacing w:after="0" w:line="211" w:lineRule="auto"/>
        <w:rPr>
          <w:sz w:val="20"/>
          <w:szCs w:val="20"/>
          <w:color w:val="auto"/>
        </w:rPr>
      </w:pPr>
      <w:r>
        <w:rPr>
          <w:rFonts w:ascii="Times New Roman" w:cs="Times New Roman" w:eastAsia="Times New Roman" w:hAnsi="Times New Roman"/>
          <w:sz w:val="20"/>
          <w:szCs w:val="20"/>
          <w:color w:val="auto"/>
        </w:rPr>
        <w:t>is now deducted from Adjusted EBITDA as it is directly attributable to Hagerty Re, which generates a significant portion of our net</w:t>
      </w:r>
    </w:p>
    <w:p>
      <w:pPr>
        <w:spacing w:after="0" w:line="197" w:lineRule="auto"/>
        <w:rPr>
          <w:sz w:val="20"/>
          <w:szCs w:val="20"/>
          <w:color w:val="auto"/>
        </w:rPr>
      </w:pPr>
      <w:r>
        <w:rPr>
          <w:rFonts w:ascii="Times New Roman" w:cs="Times New Roman" w:eastAsia="Times New Roman" w:hAnsi="Times New Roman"/>
          <w:sz w:val="20"/>
          <w:szCs w:val="20"/>
          <w:color w:val="auto"/>
        </w:rPr>
        <w:t>investment income. The following table presents a reconciliation of Adjusted EBITDA as presented in the prior period in accordance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5, to the current presentation in accordance with Article 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Three months ended</w:t>
            </w:r>
          </w:p>
        </w:tc>
        <w:tc>
          <w:tcPr>
            <w:tcW w:w="200" w:type="dxa"/>
            <w:vAlign w:val="bottom"/>
          </w:tcPr>
          <w:p>
            <w:pPr>
              <w:spacing w:after="0"/>
              <w:rPr>
                <w:sz w:val="22"/>
                <w:szCs w:val="22"/>
                <w:color w:val="auto"/>
              </w:rPr>
            </w:pPr>
          </w:p>
        </w:tc>
        <w:tc>
          <w:tcPr>
            <w:tcW w:w="19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Nine months ended</w:t>
            </w:r>
          </w:p>
        </w:tc>
      </w:tr>
      <w:tr>
        <w:trPr>
          <w:trHeight w:val="262"/>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September 30, 2025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September 30, 2025</w:t>
            </w:r>
          </w:p>
        </w:tc>
      </w:tr>
      <w:tr>
        <w:trPr>
          <w:trHeight w:val="290"/>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4"/>
          </w:tcPr>
          <w:p>
            <w:pPr>
              <w:ind w:left="1440"/>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26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Prior presentation of 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49,714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153,066</w:t>
            </w:r>
          </w:p>
        </w:tc>
      </w:tr>
      <w:tr>
        <w:trPr>
          <w:trHeight w:val="257"/>
        </w:trPr>
        <w:tc>
          <w:tcPr>
            <w:tcW w:w="6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investment income</w:t>
            </w:r>
          </w:p>
        </w:tc>
        <w:tc>
          <w:tcPr>
            <w:tcW w:w="1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28,626</w:t>
            </w:r>
          </w:p>
        </w:tc>
      </w:tr>
      <w:tr>
        <w:trPr>
          <w:trHeight w:val="256"/>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expense related to State Farm Term Loan</w:t>
            </w:r>
          </w:p>
        </w:tc>
        <w:tc>
          <w:tcPr>
            <w:tcW w:w="1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20"/>
                <w:szCs w:val="20"/>
                <w:color w:val="auto"/>
                <w:w w:val="96"/>
              </w:rPr>
              <w:t>(515)</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(1,545)</w:t>
            </w:r>
          </w:p>
        </w:tc>
      </w:tr>
      <w:tr>
        <w:trPr>
          <w:trHeight w:val="250"/>
        </w:trPr>
        <w:tc>
          <w:tcPr>
            <w:tcW w:w="6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presentation of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59,351</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180,147</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and Adjusted Diluted 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Net Income represents Net income attributable to Class A Common Stockholders, assuming the full exchange or conversion of all</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outstanding THG units and Series A Convertible Preferred Stock for shares of Class A Common Stock, adjusted to exclude (i) net investment gains and losses; and when applicable, (ii) expense related to the TRA Liability; (iii) restructuring, impairment and related charges; (iv)</w:t>
      </w:r>
    </w:p>
    <w:p>
      <w:pPr>
        <w:spacing w:after="0" w:line="211" w:lineRule="auto"/>
        <w:rPr>
          <w:sz w:val="20"/>
          <w:szCs w:val="20"/>
          <w:color w:val="auto"/>
        </w:rPr>
      </w:pPr>
      <w:r>
        <w:rPr>
          <w:rFonts w:ascii="Times New Roman" w:cs="Times New Roman" w:eastAsia="Times New Roman" w:hAnsi="Times New Roman"/>
          <w:sz w:val="20"/>
          <w:szCs w:val="20"/>
          <w:color w:val="auto"/>
        </w:rPr>
        <w:t>gains, losses, and impairments related to divestitures; and (v) certain other unusual items. Adjusted Diluted EPS is calculated by dividing</w:t>
      </w:r>
    </w:p>
    <w:p>
      <w:pPr>
        <w:ind w:right="380"/>
        <w:spacing w:after="0" w:line="221" w:lineRule="auto"/>
        <w:rPr>
          <w:sz w:val="20"/>
          <w:szCs w:val="20"/>
          <w:color w:val="auto"/>
        </w:rPr>
      </w:pPr>
      <w:r>
        <w:rPr>
          <w:rFonts w:ascii="Times New Roman" w:cs="Times New Roman" w:eastAsia="Times New Roman" w:hAnsi="Times New Roman"/>
          <w:sz w:val="20"/>
          <w:szCs w:val="20"/>
          <w:color w:val="auto"/>
        </w:rPr>
        <w:t>Adjusted Net Income by the weighted average shares of Class A Common Stock outstanding, assuming the full exchange, conversion, or vesting of all outstanding THG units, Series A Convertible Preferred Stock, and unvested share-based compensation awards.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These Measures Are Useful</w:t>
      </w:r>
    </w:p>
    <w:p>
      <w:pPr>
        <w:spacing w:after="0" w:line="220"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9"/>
          <w:szCs w:val="19"/>
          <w:color w:val="auto"/>
        </w:rPr>
        <w:t>When used in conjunction with GAAP financial measures, Adjusted Net Income and Adjusted Diluted EPS are supplemental measures of operating performance that we believe are useful measures to evaluate our performance period over period and relative to our competitors</w:t>
      </w:r>
    </w:p>
    <w:p>
      <w:pPr>
        <w:spacing w:after="0" w:line="222" w:lineRule="auto"/>
        <w:rPr>
          <w:sz w:val="20"/>
          <w:szCs w:val="20"/>
          <w:color w:val="auto"/>
        </w:rPr>
      </w:pPr>
      <w:r>
        <w:rPr>
          <w:rFonts w:ascii="Times New Roman" w:cs="Times New Roman" w:eastAsia="Times New Roman" w:hAnsi="Times New Roman"/>
          <w:sz w:val="19"/>
          <w:szCs w:val="19"/>
          <w:color w:val="auto"/>
        </w:rPr>
        <w:t>and peers. Management uses Adjusted Net Income and Adjusted Diluted EPS to evaluate our operating performance on a consistent basis, as</w:t>
      </w:r>
    </w:p>
    <w:p>
      <w:pPr>
        <w:spacing w:after="0" w:line="1" w:lineRule="exact"/>
        <w:rPr>
          <w:sz w:val="20"/>
          <w:szCs w:val="20"/>
          <w:color w:val="auto"/>
        </w:rPr>
      </w:pPr>
    </w:p>
    <w:p>
      <w:pPr>
        <w:ind w:right="600"/>
        <w:spacing w:after="0" w:line="215" w:lineRule="auto"/>
        <w:rPr>
          <w:sz w:val="20"/>
          <w:szCs w:val="20"/>
          <w:color w:val="auto"/>
        </w:rPr>
      </w:pPr>
      <w:r>
        <w:rPr>
          <w:rFonts w:ascii="Times New Roman" w:cs="Times New Roman" w:eastAsia="Times New Roman" w:hAnsi="Times New Roman"/>
          <w:sz w:val="19"/>
          <w:szCs w:val="19"/>
          <w:color w:val="auto"/>
        </w:rPr>
        <w:t>it removes the impact of items not directly resulting from our core operations. We believe these measures provide securities analysts, investors, and other interested parties with a supplemental view of our operating performance that enhances their understanding of our</w:t>
      </w:r>
    </w:p>
    <w:p>
      <w:pPr>
        <w:spacing w:after="0" w:line="211" w:lineRule="auto"/>
        <w:rPr>
          <w:sz w:val="20"/>
          <w:szCs w:val="20"/>
          <w:color w:val="auto"/>
        </w:rPr>
      </w:pPr>
      <w:r>
        <w:rPr>
          <w:rFonts w:ascii="Times New Roman" w:cs="Times New Roman" w:eastAsia="Times New Roman" w:hAnsi="Times New Roman"/>
          <w:sz w:val="20"/>
          <w:szCs w:val="20"/>
          <w:color w:val="auto"/>
        </w:rPr>
        <w:t>business and results of operations that may not otherwise be apparent when relying solely on GAAP measures. By assuming the full</w:t>
      </w:r>
    </w:p>
    <w:p>
      <w:pPr>
        <w:ind w:right="100"/>
        <w:spacing w:after="0" w:line="215" w:lineRule="auto"/>
        <w:rPr>
          <w:sz w:val="20"/>
          <w:szCs w:val="20"/>
          <w:color w:val="auto"/>
        </w:rPr>
      </w:pPr>
      <w:r>
        <w:rPr>
          <w:rFonts w:ascii="Times New Roman" w:cs="Times New Roman" w:eastAsia="Times New Roman" w:hAnsi="Times New Roman"/>
          <w:sz w:val="19"/>
          <w:szCs w:val="19"/>
          <w:color w:val="auto"/>
        </w:rPr>
        <w:t>exchange or conversion of all outstanding THG units and Series A Convertible Preferred Stock, we believe these measures facilitate comparisons with other companies that have different organizational and tax structures, as well as comparisons period over period because it</w:t>
      </w:r>
    </w:p>
    <w:p>
      <w:pPr>
        <w:spacing w:after="0" w:line="211" w:lineRule="auto"/>
        <w:rPr>
          <w:sz w:val="20"/>
          <w:szCs w:val="20"/>
          <w:color w:val="auto"/>
        </w:rPr>
      </w:pPr>
      <w:r>
        <w:rPr>
          <w:rFonts w:ascii="Times New Roman" w:cs="Times New Roman" w:eastAsia="Times New Roman" w:hAnsi="Times New Roman"/>
          <w:sz w:val="20"/>
          <w:szCs w:val="20"/>
          <w:color w:val="auto"/>
        </w:rPr>
        <w:t>eliminates the effect of any changes in Net income attributable to Class A Common Stockholders driven by increases in Hagerty, Inc.'s</w:t>
      </w:r>
    </w:p>
    <w:p>
      <w:pPr>
        <w:ind w:right="420"/>
        <w:spacing w:after="0" w:line="221" w:lineRule="auto"/>
        <w:rPr>
          <w:sz w:val="20"/>
          <w:szCs w:val="20"/>
          <w:color w:val="auto"/>
        </w:rPr>
      </w:pPr>
      <w:r>
        <w:rPr>
          <w:rFonts w:ascii="Times New Roman" w:cs="Times New Roman" w:eastAsia="Times New Roman" w:hAnsi="Times New Roman"/>
          <w:sz w:val="20"/>
          <w:szCs w:val="20"/>
          <w:color w:val="auto"/>
        </w:rPr>
        <w:t>ownership in THG, which is unrelated to our operating performance, and excludes items that are unusual or may not be indicative of our ongoing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Limitations of the Usefulness of These Measures</w:t>
      </w:r>
    </w:p>
    <w:p>
      <w:pPr>
        <w:spacing w:after="0" w:line="220"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Adjusted Net Income and Adjusted Diluted EPS may differ from similarly titled measures used by other companies due to different methods of calculation, which could reduce the usefulness of this non-GAAP financial measure when comparing our performance to that of other</w:t>
      </w:r>
    </w:p>
    <w:p>
      <w:pPr>
        <w:spacing w:after="0" w:line="211" w:lineRule="auto"/>
        <w:rPr>
          <w:sz w:val="20"/>
          <w:szCs w:val="20"/>
          <w:color w:val="auto"/>
        </w:rPr>
      </w:pPr>
      <w:r>
        <w:rPr>
          <w:rFonts w:ascii="Times New Roman" w:cs="Times New Roman" w:eastAsia="Times New Roman" w:hAnsi="Times New Roman"/>
          <w:sz w:val="20"/>
          <w:szCs w:val="20"/>
          <w:color w:val="auto"/>
        </w:rPr>
        <w:t>companies. Presentation of Adjusted Net Income and Adjusted Diluted EPS should not be considered in isolation or a substitute for, or</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superior to, the financial information prepared in accordance with GAAP. While these measures are useful in evaluating our performance, they assume the full exchange or conversion of all outstanding THG units and Series A Convertible Preferred Stock for shares of Class A</w:t>
      </w:r>
    </w:p>
    <w:p>
      <w:pPr>
        <w:ind w:right="160"/>
        <w:spacing w:after="0" w:line="215" w:lineRule="auto"/>
        <w:rPr>
          <w:sz w:val="20"/>
          <w:szCs w:val="20"/>
          <w:color w:val="auto"/>
        </w:rPr>
      </w:pPr>
      <w:r>
        <w:rPr>
          <w:rFonts w:ascii="Times New Roman" w:cs="Times New Roman" w:eastAsia="Times New Roman" w:hAnsi="Times New Roman"/>
          <w:sz w:val="19"/>
          <w:szCs w:val="19"/>
          <w:color w:val="auto"/>
        </w:rPr>
        <w:t>Common Stock, which has not occurred and may not occur. Further, the adjustments made to arrive at Adjusted Net Income exclude certain expenses and income that may recur in the future. Adjusted Net Income and Adjusted Diluted EPS should be evaluated in conjunction with</w:t>
      </w:r>
    </w:p>
    <w:p>
      <w:pPr>
        <w:ind w:right="100"/>
        <w:spacing w:after="0" w:line="228" w:lineRule="auto"/>
        <w:rPr>
          <w:sz w:val="20"/>
          <w:szCs w:val="20"/>
          <w:color w:val="auto"/>
        </w:rPr>
      </w:pPr>
      <w:r>
        <w:rPr>
          <w:rFonts w:ascii="Times New Roman" w:cs="Times New Roman" w:eastAsia="Times New Roman" w:hAnsi="Times New Roman"/>
          <w:sz w:val="20"/>
          <w:szCs w:val="20"/>
          <w:color w:val="auto"/>
        </w:rPr>
        <w:t>our GAAP financial results. A reconciliation of Adjusted Net Income to Net income attributable to Class A Common Stockholders, the most directly comparable GAAP measure, and the computation of Adjusted Diluted EPS are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280" w:type="dxa"/>
            <w:vAlign w:val="bottom"/>
          </w:tcPr>
          <w:p>
            <w:pPr>
              <w:spacing w:after="0"/>
              <w:rPr>
                <w:sz w:val="19"/>
                <w:szCs w:val="19"/>
                <w:color w:val="auto"/>
              </w:rPr>
            </w:pPr>
          </w:p>
        </w:tc>
        <w:tc>
          <w:tcPr>
            <w:tcW w:w="248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color w:val="auto"/>
              </w:rPr>
              <w:t>Nine months ended</w:t>
            </w: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color w:val="auto"/>
                <w:w w:val="98"/>
              </w:rPr>
              <w:t>September 30,</w:t>
            </w:r>
          </w:p>
        </w:tc>
        <w:tc>
          <w:tcPr>
            <w:tcW w:w="280" w:type="dxa"/>
            <w:vAlign w:val="bottom"/>
          </w:tcPr>
          <w:p>
            <w:pPr>
              <w:spacing w:after="0"/>
              <w:rPr>
                <w:sz w:val="21"/>
                <w:szCs w:val="21"/>
                <w:color w:val="auto"/>
              </w:rPr>
            </w:pPr>
          </w:p>
        </w:tc>
        <w:tc>
          <w:tcPr>
            <w:tcW w:w="2480" w:type="dxa"/>
            <w:vAlign w:val="bottom"/>
            <w:gridSpan w:val="4"/>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0"/>
        </w:trPr>
        <w:tc>
          <w:tcPr>
            <w:tcW w:w="56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287"/>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Numerator:</w:t>
            </w:r>
          </w:p>
        </w:tc>
        <w:tc>
          <w:tcPr>
            <w:tcW w:w="300" w:type="dxa"/>
            <w:vAlign w:val="bottom"/>
          </w:tcPr>
          <w:p>
            <w:pPr>
              <w:spacing w:after="0"/>
              <w:rPr>
                <w:sz w:val="24"/>
                <w:szCs w:val="24"/>
                <w:color w:val="auto"/>
              </w:rPr>
            </w:pPr>
          </w:p>
        </w:tc>
        <w:tc>
          <w:tcPr>
            <w:tcW w:w="4260" w:type="dxa"/>
            <w:vAlign w:val="bottom"/>
            <w:gridSpan w:val="9"/>
          </w:tcPr>
          <w:p>
            <w:pPr>
              <w:jc w:val="right"/>
              <w:ind w:right="61"/>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attributable to Class A Common Stockholders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8,385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18,945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34,539</w:t>
            </w:r>
          </w:p>
        </w:tc>
        <w:tc>
          <w:tcPr>
            <w:tcW w:w="0" w:type="dxa"/>
            <w:vAlign w:val="bottom"/>
          </w:tcPr>
          <w:p>
            <w:pPr>
              <w:spacing w:after="0"/>
              <w:rPr>
                <w:sz w:val="1"/>
                <w:szCs w:val="1"/>
                <w:color w:val="auto"/>
              </w:rPr>
            </w:pPr>
          </w:p>
        </w:tc>
      </w:tr>
      <w:tr>
        <w:trPr>
          <w:trHeight w:val="257"/>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Adjustments: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Accretion of Series A Convertible Preferred Stock</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5,653</w:t>
            </w:r>
          </w:p>
        </w:tc>
        <w:tc>
          <w:tcPr>
            <w:tcW w:w="0" w:type="dxa"/>
            <w:vAlign w:val="bottom"/>
          </w:tcPr>
          <w:p>
            <w:pPr>
              <w:spacing w:after="0"/>
              <w:rPr>
                <w:sz w:val="1"/>
                <w:szCs w:val="1"/>
                <w:color w:val="auto"/>
              </w:rPr>
            </w:pPr>
          </w:p>
        </w:tc>
      </w:tr>
      <w:tr>
        <w:trPr>
          <w:trHeight w:val="257"/>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income attributable to non-controlling interest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25,323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25,565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80,474</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investment gains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(2,150)</w:t>
            </w:r>
          </w:p>
        </w:tc>
        <w:tc>
          <w:tcPr>
            <w:tcW w:w="0" w:type="dxa"/>
            <w:vAlign w:val="bottom"/>
          </w:tcPr>
          <w:p>
            <w:pPr>
              <w:spacing w:after="0"/>
              <w:rPr>
                <w:sz w:val="1"/>
                <w:szCs w:val="1"/>
                <w:color w:val="auto"/>
              </w:rPr>
            </w:pPr>
          </w:p>
        </w:tc>
      </w:tr>
      <w:tr>
        <w:trPr>
          <w:trHeight w:val="257"/>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Expense related to TRA Liability</w:t>
            </w:r>
          </w:p>
        </w:tc>
        <w:tc>
          <w:tcPr>
            <w:tcW w:w="3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29,197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32,275</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Other unusual items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5,189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2,961</w:t>
            </w: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tcPr>
          <w:p>
            <w:pPr>
              <w:ind w:left="140"/>
              <w:spacing w:after="0" w:line="257" w:lineRule="exact"/>
              <w:rPr>
                <w:sz w:val="20"/>
                <w:szCs w:val="20"/>
                <w:color w:val="auto"/>
              </w:rPr>
            </w:pPr>
            <w:r>
              <w:rPr>
                <w:rFonts w:ascii="Times New Roman" w:cs="Times New Roman" w:eastAsia="Times New Roman" w:hAnsi="Times New Roman"/>
                <w:sz w:val="20"/>
                <w:szCs w:val="20"/>
                <w:color w:val="auto"/>
              </w:rPr>
              <w:t xml:space="preserve">Tax impact of above adjustments </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(41,452)</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(15,991)</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(51,410)</w:t>
            </w:r>
          </w:p>
        </w:tc>
        <w:tc>
          <w:tcPr>
            <w:tcW w:w="0" w:type="dxa"/>
            <w:vAlign w:val="bottom"/>
          </w:tcPr>
          <w:p>
            <w:pPr>
              <w:spacing w:after="0"/>
              <w:rPr>
                <w:sz w:val="1"/>
                <w:szCs w:val="1"/>
                <w:color w:val="auto"/>
              </w:rPr>
            </w:pPr>
          </w:p>
        </w:tc>
      </w:tr>
      <w:tr>
        <w:trPr>
          <w:trHeight w:val="27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Net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35,618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33,540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16,286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102,342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Denominator: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Diluted</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107,800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347,240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102,995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346,672</w:t>
            </w:r>
          </w:p>
        </w:tc>
        <w:tc>
          <w:tcPr>
            <w:tcW w:w="0" w:type="dxa"/>
            <w:vAlign w:val="bottom"/>
          </w:tcPr>
          <w:p>
            <w:pPr>
              <w:spacing w:after="0"/>
              <w:rPr>
                <w:sz w:val="1"/>
                <w:szCs w:val="1"/>
                <w:color w:val="auto"/>
              </w:rPr>
            </w:pPr>
          </w:p>
        </w:tc>
      </w:tr>
      <w:tr>
        <w:trPr>
          <w:trHeight w:val="27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Adjustments: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Assumed exchange of non-controlling interest THG units for shares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6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of Class A Common Stock</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240,970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243,676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Assumed conversion of shares of Series A Convertible Preferred</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Stock into shares of Class A Common Stock</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6,785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6,785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6,785</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6,785</w:t>
            </w:r>
          </w:p>
        </w:tc>
        <w:tc>
          <w:tcPr>
            <w:tcW w:w="0" w:type="dxa"/>
            <w:vAlign w:val="bottom"/>
          </w:tcPr>
          <w:p>
            <w:pPr>
              <w:spacing w:after="0"/>
              <w:rPr>
                <w:sz w:val="1"/>
                <w:szCs w:val="1"/>
                <w:color w:val="auto"/>
              </w:rPr>
            </w:pPr>
          </w:p>
        </w:tc>
      </w:tr>
      <w:tr>
        <w:trPr>
          <w:trHeight w:val="266"/>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Assumed vesting of share-based compensation awards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5,690</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7,069</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7,884</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7,300</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20"/>
                <w:szCs w:val="20"/>
                <w:color w:val="auto"/>
              </w:rPr>
              <w:t>Adjusted weighted average shares of Class A Common Stock</w:t>
            </w:r>
          </w:p>
        </w:tc>
        <w:tc>
          <w:tcPr>
            <w:tcW w:w="3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361,245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361,094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361,340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360,757</w:t>
            </w:r>
          </w:p>
        </w:tc>
        <w:tc>
          <w:tcPr>
            <w:tcW w:w="0" w:type="dxa"/>
            <w:vAlign w:val="bottom"/>
          </w:tcPr>
          <w:p>
            <w:pPr>
              <w:spacing w:after="0"/>
              <w:rPr>
                <w:sz w:val="1"/>
                <w:szCs w:val="1"/>
                <w:color w:val="auto"/>
              </w:rPr>
            </w:pPr>
          </w:p>
        </w:tc>
      </w:tr>
      <w:tr>
        <w:trPr>
          <w:trHeight w:val="25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outstanding — Diluted</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Diluted EPS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Three months ended</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tcPr>
          <w:p>
            <w:pPr>
              <w:jc w:val="center"/>
              <w:ind w:right="181"/>
              <w:spacing w:after="0"/>
              <w:rPr>
                <w:sz w:val="20"/>
                <w:szCs w:val="20"/>
                <w:color w:val="auto"/>
              </w:rPr>
            </w:pPr>
            <w:r>
              <w:rPr>
                <w:rFonts w:ascii="Times New Roman" w:cs="Times New Roman" w:eastAsia="Times New Roman" w:hAnsi="Times New Roman"/>
                <w:sz w:val="20"/>
                <w:szCs w:val="20"/>
                <w:color w:val="auto"/>
                <w:w w:val="98"/>
              </w:rPr>
              <w:t>Nine months ended</w:t>
            </w:r>
          </w:p>
        </w:tc>
        <w:tc>
          <w:tcPr>
            <w:tcW w:w="0" w:type="dxa"/>
            <w:vAlign w:val="bottom"/>
          </w:tcPr>
          <w:p>
            <w:pPr>
              <w:spacing w:after="0"/>
              <w:rPr>
                <w:sz w:val="1"/>
                <w:szCs w:val="1"/>
                <w:color w:val="auto"/>
              </w:rPr>
            </w:pPr>
          </w:p>
        </w:tc>
      </w:tr>
      <w:tr>
        <w:trPr>
          <w:trHeight w:val="252"/>
        </w:trPr>
        <w:tc>
          <w:tcPr>
            <w:tcW w:w="4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20"/>
                <w:szCs w:val="20"/>
                <w:color w:val="auto"/>
              </w:rPr>
              <w:t>September 30,</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center"/>
              <w:ind w:right="181"/>
              <w:spacing w:after="0"/>
              <w:rPr>
                <w:sz w:val="20"/>
                <w:szCs w:val="20"/>
                <w:color w:val="auto"/>
              </w:rPr>
            </w:pPr>
            <w:r>
              <w:rPr>
                <w:rFonts w:ascii="Times New Roman" w:cs="Times New Roman" w:eastAsia="Times New Roman" w:hAnsi="Times New Roman"/>
                <w:sz w:val="20"/>
                <w:szCs w:val="20"/>
                <w:color w:val="auto"/>
                <w:w w:val="98"/>
              </w:rPr>
              <w:t>September 30,</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Borders>
              <w:bottom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34"/>
        </w:trPr>
        <w:tc>
          <w:tcPr>
            <w:tcW w:w="4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Diluted EPS</w:t>
            </w:r>
          </w:p>
        </w:tc>
        <w:tc>
          <w:tcPr>
            <w:tcW w:w="88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20"/>
                <w:szCs w:val="20"/>
                <w:color w:val="auto"/>
                <w:w w:val="97"/>
              </w:rPr>
              <w:t>0.00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20"/>
                <w:szCs w:val="20"/>
                <w:color w:val="auto"/>
                <w:w w:val="97"/>
              </w:rPr>
              <w:t>0.29</w:t>
            </w:r>
          </w:p>
        </w:tc>
        <w:tc>
          <w:tcPr>
            <w:tcW w:w="0" w:type="dxa"/>
            <w:vAlign w:val="bottom"/>
          </w:tcPr>
          <w:p>
            <w:pPr>
              <w:spacing w:after="0"/>
              <w:rPr>
                <w:sz w:val="1"/>
                <w:szCs w:val="1"/>
                <w:color w:val="auto"/>
              </w:rPr>
            </w:pPr>
          </w:p>
        </w:tc>
      </w:tr>
      <w:tr>
        <w:trPr>
          <w:trHeight w:val="193"/>
        </w:trPr>
        <w:tc>
          <w:tcPr>
            <w:tcW w:w="5660" w:type="dxa"/>
            <w:vAlign w:val="bottom"/>
            <w:gridSpan w:val="2"/>
          </w:tcPr>
          <w:p>
            <w:pPr>
              <w:ind w:left="140"/>
              <w:spacing w:after="0" w:line="193" w:lineRule="exact"/>
              <w:rPr>
                <w:sz w:val="20"/>
                <w:szCs w:val="20"/>
                <w:color w:val="auto"/>
              </w:rPr>
            </w:pPr>
            <w:r>
              <w:rPr>
                <w:rFonts w:ascii="Times New Roman" w:cs="Times New Roman" w:eastAsia="Times New Roman" w:hAnsi="Times New Roman"/>
                <w:sz w:val="20"/>
                <w:szCs w:val="20"/>
                <w:color w:val="auto"/>
              </w:rPr>
              <w:t>Impact of assumed exchange, conversion, or vesting of remaining</w:t>
            </w:r>
          </w:p>
        </w:tc>
        <w:tc>
          <w:tcPr>
            <w:tcW w:w="88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center"/>
              <w:ind w:left="441"/>
              <w:spacing w:after="0"/>
              <w:rPr>
                <w:sz w:val="20"/>
                <w:szCs w:val="20"/>
                <w:color w:val="auto"/>
              </w:rPr>
            </w:pPr>
            <w:r>
              <w:rPr>
                <w:rFonts w:ascii="Times New Roman" w:cs="Times New Roman" w:eastAsia="Times New Roman" w:hAnsi="Times New Roman"/>
                <w:sz w:val="20"/>
                <w:szCs w:val="20"/>
                <w:color w:val="auto"/>
                <w:w w:val="97"/>
              </w:rPr>
              <w:t>0.09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center"/>
              <w:ind w:left="441"/>
              <w:spacing w:after="0"/>
              <w:rPr>
                <w:sz w:val="20"/>
                <w:szCs w:val="20"/>
                <w:color w:val="auto"/>
              </w:rPr>
            </w:pPr>
            <w:r>
              <w:rPr>
                <w:rFonts w:ascii="Times New Roman" w:cs="Times New Roman" w:eastAsia="Times New Roman" w:hAnsi="Times New Roman"/>
                <w:sz w:val="20"/>
                <w:szCs w:val="20"/>
                <w:color w:val="auto"/>
                <w:w w:val="97"/>
              </w:rPr>
              <w:t>0.04</w:t>
            </w:r>
          </w:p>
        </w:tc>
        <w:tc>
          <w:tcPr>
            <w:tcW w:w="0" w:type="dxa"/>
            <w:vAlign w:val="bottom"/>
          </w:tcPr>
          <w:p>
            <w:pPr>
              <w:spacing w:after="0"/>
              <w:rPr>
                <w:sz w:val="1"/>
                <w:szCs w:val="1"/>
                <w:color w:val="auto"/>
              </w:rPr>
            </w:pPr>
          </w:p>
        </w:tc>
      </w:tr>
      <w:tr>
        <w:trPr>
          <w:trHeight w:val="252"/>
        </w:trPr>
        <w:tc>
          <w:tcPr>
            <w:tcW w:w="5660" w:type="dxa"/>
            <w:vAlign w:val="bottom"/>
            <w:gridSpan w:val="2"/>
          </w:tcPr>
          <w:p>
            <w:pPr>
              <w:ind w:left="140"/>
              <w:spacing w:after="0" w:line="252" w:lineRule="exact"/>
              <w:rPr>
                <w:sz w:val="20"/>
                <w:szCs w:val="20"/>
                <w:color w:val="auto"/>
              </w:rPr>
            </w:pPr>
            <w:r>
              <w:rPr>
                <w:rFonts w:ascii="Times New Roman" w:cs="Times New Roman" w:eastAsia="Times New Roman" w:hAnsi="Times New Roman"/>
                <w:sz w:val="20"/>
                <w:szCs w:val="20"/>
                <w:color w:val="auto"/>
              </w:rPr>
              <w:t xml:space="preserve">potentially dilutive securities </w:t>
            </w:r>
            <w:r>
              <w:rPr>
                <w:rFonts w:ascii="Times New Roman" w:cs="Times New Roman" w:eastAsia="Times New Roman" w:hAnsi="Times New Roman"/>
                <w:sz w:val="25"/>
                <w:szCs w:val="25"/>
                <w:color w:val="auto"/>
                <w:vertAlign w:val="superscript"/>
              </w:rPr>
              <w:t>(3)</w:t>
            </w:r>
          </w:p>
        </w:tc>
        <w:tc>
          <w:tcPr>
            <w:tcW w:w="88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ind w:left="140"/>
              <w:spacing w:after="0" w:line="270" w:lineRule="exact"/>
              <w:rPr>
                <w:sz w:val="20"/>
                <w:szCs w:val="20"/>
                <w:color w:val="auto"/>
              </w:rPr>
            </w:pPr>
            <w:r>
              <w:rPr>
                <w:rFonts w:ascii="Times New Roman" w:cs="Times New Roman" w:eastAsia="Times New Roman" w:hAnsi="Times New Roman"/>
                <w:sz w:val="20"/>
                <w:szCs w:val="20"/>
                <w:color w:val="auto"/>
              </w:rPr>
              <w:t xml:space="preserve">Non-GAAP adjustments </w:t>
            </w:r>
            <w:r>
              <w:rPr>
                <w:rFonts w:ascii="Times New Roman" w:cs="Times New Roman" w:eastAsia="Times New Roman" w:hAnsi="Times New Roman"/>
                <w:sz w:val="25"/>
                <w:szCs w:val="25"/>
                <w:color w:val="auto"/>
                <w:vertAlign w:val="superscript"/>
              </w:rPr>
              <w:t>(4)</w:t>
            </w:r>
          </w:p>
        </w:tc>
        <w:tc>
          <w:tcPr>
            <w:tcW w:w="8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8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ind w:left="421"/>
              <w:spacing w:after="0"/>
              <w:rPr>
                <w:sz w:val="20"/>
                <w:szCs w:val="20"/>
                <w:color w:val="auto"/>
              </w:rPr>
            </w:pPr>
            <w:r>
              <w:rPr>
                <w:rFonts w:ascii="Times New Roman" w:cs="Times New Roman" w:eastAsia="Times New Roman" w:hAnsi="Times New Roman"/>
                <w:sz w:val="20"/>
                <w:szCs w:val="20"/>
                <w:color w:val="auto"/>
                <w:w w:val="99"/>
              </w:rPr>
              <w:t>(0.04)</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ind w:left="421"/>
              <w:spacing w:after="0"/>
              <w:rPr>
                <w:sz w:val="20"/>
                <w:szCs w:val="20"/>
                <w:color w:val="auto"/>
              </w:rPr>
            </w:pPr>
            <w:r>
              <w:rPr>
                <w:rFonts w:ascii="Times New Roman" w:cs="Times New Roman" w:eastAsia="Times New Roman" w:hAnsi="Times New Roman"/>
                <w:sz w:val="20"/>
                <w:szCs w:val="20"/>
                <w:color w:val="auto"/>
                <w:w w:val="99"/>
              </w:rPr>
              <w:t>(0.05)</w:t>
            </w:r>
          </w:p>
        </w:tc>
        <w:tc>
          <w:tcPr>
            <w:tcW w:w="0" w:type="dxa"/>
            <w:vAlign w:val="bottom"/>
          </w:tcPr>
          <w:p>
            <w:pPr>
              <w:spacing w:after="0"/>
              <w:rPr>
                <w:sz w:val="1"/>
                <w:szCs w:val="1"/>
                <w:color w:val="auto"/>
              </w:rPr>
            </w:pPr>
          </w:p>
        </w:tc>
      </w:tr>
      <w:tr>
        <w:trPr>
          <w:trHeight w:val="25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Adjusted Diluted EPS</w:t>
            </w:r>
          </w:p>
        </w:tc>
        <w:tc>
          <w:tcPr>
            <w:tcW w:w="8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80" w:type="dxa"/>
            <w:vAlign w:val="bottom"/>
          </w:tcPr>
          <w:p>
            <w:pPr>
              <w:spacing w:after="0"/>
              <w:rPr>
                <w:sz w:val="21"/>
                <w:szCs w:val="21"/>
                <w:color w:val="auto"/>
              </w:rPr>
            </w:pPr>
          </w:p>
        </w:tc>
        <w:tc>
          <w:tcPr>
            <w:tcW w:w="8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20"/>
                <w:szCs w:val="20"/>
                <w:color w:val="auto"/>
                <w:w w:val="97"/>
              </w:rPr>
              <w:t>0.05</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20"/>
                <w:szCs w:val="20"/>
                <w:color w:val="auto"/>
                <w:w w:val="97"/>
              </w:rPr>
              <w:t>0.28</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right="40" w:hanging="250"/>
        <w:spacing w:after="0" w:line="201" w:lineRule="auto"/>
        <w:tabs>
          <w:tab w:leader="none" w:pos="455"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For the nine months ended September 30, 2026, other unusual items includes: (i) a loss related to the write-down of certain fixed assets classified as held-for-sale; (ii) the impairment of certain operating lease right-of-use assets; (iii) professional fees related to the acquisition of Bennetts, as well as the 2026 THG Unit Exchange and related secondary offering; and (iv) additional severance expenses associated with the actions taken in the fourth quarter of 2025. For the nine months ended September 30, 2025, other unusual items includes certain legal settlement expenses, professional fees associated with the 2025 THG Unit Exchange and related secondary offering, and certain material severance expenses.</w:t>
      </w:r>
    </w:p>
    <w:p>
      <w:pPr>
        <w:spacing w:after="0" w:line="1" w:lineRule="exact"/>
        <w:rPr>
          <w:rFonts w:ascii="Times New Roman" w:cs="Times New Roman" w:eastAsia="Times New Roman" w:hAnsi="Times New Roman"/>
          <w:sz w:val="26"/>
          <w:szCs w:val="26"/>
          <w:color w:val="auto"/>
          <w:vertAlign w:val="superscript"/>
        </w:rPr>
      </w:pPr>
    </w:p>
    <w:p>
      <w:pPr>
        <w:ind w:left="420" w:right="280" w:hanging="250"/>
        <w:spacing w:after="0" w:line="186" w:lineRule="auto"/>
        <w:tabs>
          <w:tab w:leader="none" w:pos="455"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the tax effect of the aforementioned adjustments to reflect corporate income taxes at an estimated effective tax rate of 22.3% and 20.5% for the three months ended September 30, 2026 and 2025, respectively, and 30.4% and 22.8% for the nine months ended September 30, 2026 and 2025, respectively, which considers the U.S. federal statutory rate of 21%, a combined state income tax rate of approximately 5% (net of federal benefits and required valuation allowances), and certain material permanent items.</w:t>
      </w:r>
    </w:p>
    <w:p>
      <w:pPr>
        <w:spacing w:after="0" w:line="2" w:lineRule="exact"/>
        <w:rPr>
          <w:rFonts w:ascii="Times New Roman" w:cs="Times New Roman" w:eastAsia="Times New Roman" w:hAnsi="Times New Roman"/>
          <w:sz w:val="26"/>
          <w:szCs w:val="26"/>
          <w:color w:val="auto"/>
          <w:vertAlign w:val="superscript"/>
        </w:rPr>
      </w:pPr>
    </w:p>
    <w:p>
      <w:pPr>
        <w:jc w:val="both"/>
        <w:ind w:left="420" w:hanging="250"/>
        <w:spacing w:after="0" w:line="182" w:lineRule="auto"/>
        <w:tabs>
          <w:tab w:leader="none" w:pos="444"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Assumes the exchange, conversion, or vesting of all outstanding THG units, Series A Convertible Preferred Stock, and unvested share-based compensation awards for shares of Class A Common Stock, resulting in the elimination of the non-controlling interest and recognition of the Net income attributable to non-controlling interest, as well as the elimination of the accretion of Series A Convertible Preferred Stock. Refer to Note 18 — Earnings Per Share in Item 1 of Part I of this Quarterly Report for additional information on Diluted EPS.</w:t>
      </w:r>
    </w:p>
    <w:p>
      <w:pPr>
        <w:spacing w:after="0" w:line="2" w:lineRule="exact"/>
        <w:rPr>
          <w:rFonts w:ascii="Times New Roman" w:cs="Times New Roman" w:eastAsia="Times New Roman" w:hAnsi="Times New Roman"/>
          <w:sz w:val="26"/>
          <w:szCs w:val="26"/>
          <w:color w:val="auto"/>
          <w:vertAlign w:val="superscript"/>
        </w:rPr>
      </w:pPr>
    </w:p>
    <w:p>
      <w:pPr>
        <w:ind w:left="440" w:hanging="270"/>
        <w:spacing w:after="0" w:line="182" w:lineRule="auto"/>
        <w:tabs>
          <w:tab w:leader="none" w:pos="44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the per share impact of non-GAAP adjustments for each period. Refer to the reconciliation above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6"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Maintaining a strong balance sheet and capital position is a top priority for us. As a holding company without direct operations, we manage liquidity globally and across all operating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and Uses of Liquidity</w:t>
      </w:r>
    </w:p>
    <w:p>
      <w:pPr>
        <w:spacing w:after="0" w:line="206"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9"/>
          <w:szCs w:val="19"/>
          <w:color w:val="auto"/>
        </w:rPr>
        <w:t>Our sources of liquidity include our: (i) balances of cash and cash equivalents; (ii) net working capital; (iii) cash flows from operations, including net investment income; (iv) borrowings from the 2025 JPM Credit Facility (as defined below) to fund the general corporate needs</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of THG and its subsidiaries; and (v) borrowings from the BAC Credit Facility (as defined below) to fund a portion of the lending activities of BAC.</w:t>
      </w:r>
    </w:p>
    <w:p>
      <w:pPr>
        <w:spacing w:after="0" w:line="189" w:lineRule="exact"/>
        <w:rPr>
          <w:sz w:val="20"/>
          <w:szCs w:val="20"/>
          <w:color w:val="auto"/>
        </w:rPr>
      </w:pPr>
    </w:p>
    <w:p>
      <w:pPr>
        <w:ind w:right="580"/>
        <w:spacing w:after="0" w:line="227" w:lineRule="auto"/>
        <w:rPr>
          <w:sz w:val="20"/>
          <w:szCs w:val="20"/>
          <w:color w:val="auto"/>
        </w:rPr>
      </w:pPr>
      <w:r>
        <w:rPr>
          <w:rFonts w:ascii="Times New Roman" w:cs="Times New Roman" w:eastAsia="Times New Roman" w:hAnsi="Times New Roman"/>
          <w:sz w:val="19"/>
          <w:szCs w:val="19"/>
          <w:color w:val="auto"/>
        </w:rPr>
        <w:t>Our primary liquidity needs and capital requirements include cash required for: (i) funding the business operations of THG and its subsidiaries; (ii) funding strategic investments and acquisitions, including funding the acquisition of Bennetts on October 8, 2026 for a</w:t>
      </w:r>
    </w:p>
    <w:p>
      <w:pPr>
        <w:spacing w:after="0" w:line="211" w:lineRule="auto"/>
        <w:rPr>
          <w:sz w:val="20"/>
          <w:szCs w:val="20"/>
          <w:color w:val="auto"/>
        </w:rPr>
      </w:pPr>
      <w:r>
        <w:rPr>
          <w:rFonts w:ascii="Times New Roman" w:cs="Times New Roman" w:eastAsia="Times New Roman" w:hAnsi="Times New Roman"/>
          <w:sz w:val="20"/>
          <w:szCs w:val="20"/>
          <w:color w:val="auto"/>
        </w:rPr>
        <w:t>purchase price of approximately £34.5 million (approximately $46.0 million); (iii) servicing and repayment of borrowings under the 2025</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JPM Credit Facility, the BAC Credit Facility, and the unsecured term loan credit facility with State Farm (the "State Farm Term Loan"); (iv) funding potential cash dividend payments on the Series A Convertible Preferred Stock; (v) payment of income taxes; (vi) funding required</w:t>
      </w:r>
    </w:p>
    <w:p>
      <w:pPr>
        <w:ind w:right="40"/>
        <w:spacing w:after="0" w:line="228" w:lineRule="auto"/>
        <w:rPr>
          <w:sz w:val="20"/>
          <w:szCs w:val="20"/>
          <w:color w:val="auto"/>
        </w:rPr>
      </w:pPr>
      <w:r>
        <w:rPr>
          <w:rFonts w:ascii="Times New Roman" w:cs="Times New Roman" w:eastAsia="Times New Roman" w:hAnsi="Times New Roman"/>
          <w:sz w:val="20"/>
          <w:szCs w:val="20"/>
          <w:color w:val="auto"/>
        </w:rPr>
        <w:t>distributions to the non-controlling interest unit holders of THG; and (vii) funding required payments to Hagerty Holding Corp. ("HHC") and Markel (together, the "Legacy Unit Holders") under the TRA.</w:t>
      </w:r>
    </w:p>
    <w:p>
      <w:pPr>
        <w:spacing w:after="0" w:line="176"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20"/>
          <w:szCs w:val="20"/>
          <w:color w:val="auto"/>
        </w:rPr>
        <w:t>As of September 30, 2026, we believe that our sources of liquidity will be sufficient to provide an adequate level of capital to support our anticipated short and long-term commitments, operating needs, and capital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JPM Credit Facility</w:t>
      </w:r>
    </w:p>
    <w:p>
      <w:pPr>
        <w:spacing w:after="0" w:line="22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9"/>
          <w:szCs w:val="19"/>
          <w:color w:val="auto"/>
        </w:rPr>
        <w:t>THG has a credit agreement with JPMorgan Chase Bank, N.A. ("JPM"), as administrative agent, issuing bank and swingline lender, the foreign subsidiary borrowers thereto, and the other financial institutions party thereto as lenders (the "2025 JPM Credit Agreement").</w:t>
      </w:r>
    </w:p>
    <w:p>
      <w:pPr>
        <w:spacing w:after="0" w:line="15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9"/>
          <w:szCs w:val="19"/>
          <w:color w:val="auto"/>
        </w:rPr>
        <w:t>The 2025 JPM Credit Agreement provides for a senior unsecured revolving credit facility (the "2025 JPM Credit Facility") with an aggregate borrowing capacity of $375.0 million. The 2025 JPM Credit Agreement matures in March 2030, but may be extended if agreed by THG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the lenders party thereto. Any unpaid balance on the 2025 JPM Credit Facility is due at maturity. As of September 30, 2026, total outstanding borrowings under the 2025 JPM Credit Facility were $119.3 million.</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9"/>
          <w:szCs w:val="19"/>
          <w:color w:val="auto"/>
        </w:rPr>
        <w:t>The 2025 JPM Credit Agreement requires us to, among other things, meet certain financial covenants, including a minimum fixed charge coverage ratio test and a maximum leverage ratio test. As of September 30, 2026, we were in compliance with these financial covenants.</w:t>
      </w:r>
    </w:p>
    <w:p>
      <w:pPr>
        <w:spacing w:after="0" w:line="150"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color w:val="auto"/>
        </w:rPr>
        <w:t>On October 29, 2026, THG amended the 2025 JPM Credit Agreement to increase from $150.0 million to $275.0 million the permitted amount on indebtedness under securitization facilities, including the BAC Credit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BAC Credit Facility</w:t>
      </w:r>
    </w:p>
    <w:p>
      <w:pPr>
        <w:spacing w:after="0" w:line="206"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BAC and its wholly owned subsidiary BAC Funding 2023-1, LLC, as borrower, have a revolving credit agreement (the "BAC Credit Agreement") that provides for a revolving credit facility (the "BAC Credit Facility") with an aggregate commitment of $150.0 million. The</w:t>
      </w:r>
    </w:p>
    <w:p>
      <w:pPr>
        <w:spacing w:after="0" w:line="1" w:lineRule="exact"/>
        <w:rPr>
          <w:sz w:val="20"/>
          <w:szCs w:val="20"/>
          <w:color w:val="auto"/>
        </w:rPr>
      </w:pPr>
    </w:p>
    <w:p>
      <w:pPr>
        <w:ind w:right="480"/>
        <w:spacing w:after="0" w:line="215" w:lineRule="auto"/>
        <w:rPr>
          <w:sz w:val="20"/>
          <w:szCs w:val="20"/>
          <w:color w:val="auto"/>
        </w:rPr>
      </w:pPr>
      <w:r>
        <w:rPr>
          <w:rFonts w:ascii="Times New Roman" w:cs="Times New Roman" w:eastAsia="Times New Roman" w:hAnsi="Times New Roman"/>
          <w:sz w:val="19"/>
          <w:szCs w:val="19"/>
          <w:color w:val="auto"/>
        </w:rPr>
        <w:t>BAC Credit Facility's borrowing base is determined by the carrying value of certain BAC notes receivable, which is then limited by the amount of the aggregate commitment. As of September 30, 2026, the applicable borrowing base for the BAC Credit Agreement was</w:t>
      </w:r>
    </w:p>
    <w:p>
      <w:pPr>
        <w:spacing w:after="0"/>
        <w:rPr>
          <w:sz w:val="20"/>
          <w:szCs w:val="20"/>
          <w:color w:val="auto"/>
        </w:rPr>
      </w:pPr>
      <w:r>
        <w:rPr>
          <w:rFonts w:ascii="Times New Roman" w:cs="Times New Roman" w:eastAsia="Times New Roman" w:hAnsi="Times New Roman"/>
          <w:sz w:val="20"/>
          <w:szCs w:val="20"/>
          <w:color w:val="auto"/>
        </w:rPr>
        <w:t>$102.5 million.</w:t>
      </w:r>
    </w:p>
    <w:p>
      <w:pPr>
        <w:spacing w:after="0" w:line="19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revolving borrowing period of the BAC Credit Facility expires in November 2027, followed by an amortization period until it ultimately matures in November 2028. The borrowing period and the maturity date of the BAC Credit Facility may be extended by one year if requested</w:t>
      </w:r>
    </w:p>
    <w:p>
      <w:pPr>
        <w:spacing w:after="0"/>
        <w:rPr>
          <w:sz w:val="20"/>
          <w:szCs w:val="20"/>
          <w:color w:val="auto"/>
        </w:rPr>
      </w:pPr>
      <w:r>
        <w:rPr>
          <w:rFonts w:ascii="Times New Roman" w:cs="Times New Roman" w:eastAsia="Times New Roman" w:hAnsi="Times New Roman"/>
          <w:sz w:val="20"/>
          <w:szCs w:val="20"/>
          <w:color w:val="auto"/>
        </w:rPr>
        <w:t>by BAC and agreed by the administrative agent. BAC is not a borrower or guarantor of the BAC Credit Facility.</w:t>
      </w:r>
    </w:p>
    <w:p>
      <w:pPr>
        <w:spacing w:after="0" w:line="194"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BAC and certain of its subsidiaries may transfer notes receivable to wholly owned, bankruptcy remote special purpose entities (each, an "SPE") to secure borrowings, isolating these assets from our other obligations. Recourse is limited to (i) an obligation of the applicable seller</w:t>
      </w:r>
    </w:p>
    <w:p>
      <w:pPr>
        <w:spacing w:after="0" w:line="222" w:lineRule="auto"/>
        <w:rPr>
          <w:sz w:val="20"/>
          <w:szCs w:val="20"/>
          <w:color w:val="auto"/>
        </w:rPr>
      </w:pPr>
      <w:r>
        <w:rPr>
          <w:rFonts w:ascii="Times New Roman" w:cs="Times New Roman" w:eastAsia="Times New Roman" w:hAnsi="Times New Roman"/>
          <w:sz w:val="19"/>
          <w:szCs w:val="19"/>
          <w:color w:val="auto"/>
        </w:rPr>
        <w:t>to repurchase a note receivable if it is determined that there was a breach of any representation or warranty relating to such note receivable as</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of the relevant date specified in the related transfer agreement; and (ii) a limited guarantee for certain liabilities that may result under certain foreign exchange hedging activity of one of the SPEs.</w:t>
      </w:r>
    </w:p>
    <w:p>
      <w:pPr>
        <w:spacing w:after="0" w:line="189" w:lineRule="exact"/>
        <w:rPr>
          <w:sz w:val="20"/>
          <w:szCs w:val="20"/>
          <w:color w:val="auto"/>
        </w:rPr>
      </w:pPr>
    </w:p>
    <w:p>
      <w:pPr>
        <w:ind w:right="580"/>
        <w:spacing w:after="0" w:line="227" w:lineRule="auto"/>
        <w:rPr>
          <w:sz w:val="20"/>
          <w:szCs w:val="20"/>
          <w:color w:val="auto"/>
        </w:rPr>
      </w:pPr>
      <w:r>
        <w:rPr>
          <w:rFonts w:ascii="Times New Roman" w:cs="Times New Roman" w:eastAsia="Times New Roman" w:hAnsi="Times New Roman"/>
          <w:sz w:val="19"/>
          <w:szCs w:val="19"/>
          <w:color w:val="auto"/>
        </w:rPr>
        <w:t>BAC and BAC Funding 2023-1, LLC are required, among other things, to meet certain financial covenants including that BAC, as the servicer, maintain a minimum tangible net worth, minimum liquidity balances, and an indebtedness to tangible net worth ratio. As of</w:t>
      </w:r>
    </w:p>
    <w:p>
      <w:pPr>
        <w:spacing w:after="0"/>
        <w:rPr>
          <w:sz w:val="20"/>
          <w:szCs w:val="20"/>
          <w:color w:val="auto"/>
        </w:rPr>
      </w:pPr>
      <w:r>
        <w:rPr>
          <w:rFonts w:ascii="Times New Roman" w:cs="Times New Roman" w:eastAsia="Times New Roman" w:hAnsi="Times New Roman"/>
          <w:sz w:val="20"/>
          <w:szCs w:val="20"/>
          <w:color w:val="auto"/>
        </w:rPr>
        <w:t>September 30, 2026, we were in compliance with the financial covenants under the BAC Credit Agreement.</w:t>
      </w:r>
    </w:p>
    <w:p>
      <w:pPr>
        <w:spacing w:after="0" w:line="194"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On October 30, 2026, BAC and BAC Funding 2023-1, LLC, as borrower, amended the BAC Credit Agreement to, among other things, add an additional lender and increase the aggregate commitment under the BAC Credit Facility from $150.0 million to $200.0 million, subject to</w:t>
      </w:r>
    </w:p>
    <w:p>
      <w:pPr>
        <w:spacing w:after="0"/>
        <w:rPr>
          <w:sz w:val="20"/>
          <w:szCs w:val="20"/>
          <w:color w:val="auto"/>
        </w:rPr>
      </w:pPr>
      <w:r>
        <w:rPr>
          <w:rFonts w:ascii="Times New Roman" w:cs="Times New Roman" w:eastAsia="Times New Roman" w:hAnsi="Times New Roman"/>
          <w:sz w:val="20"/>
          <w:szCs w:val="20"/>
          <w:color w:val="auto"/>
        </w:rPr>
        <w:t>the terms and conditions of the BAC Credit Agreement.</w:t>
      </w:r>
    </w:p>
    <w:p>
      <w:pPr>
        <w:spacing w:after="0" w:line="194"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0"/>
          <w:szCs w:val="20"/>
          <w:color w:val="auto"/>
        </w:rPr>
        <w:t>Refer to Note 14 — Debt in Item 1 of Part I of this Quarterly Report for additional information related to the 2025 JPM Credit Agreement and BAC Credit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and Dividend Restrictions</w:t>
      </w:r>
    </w:p>
    <w:p>
      <w:pPr>
        <w:spacing w:after="0" w:line="220"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We are a holding company with no material assets other than our ownership interest in THG and its operating subsidiaries. Accordingly, our ability to meet our cash requirements depends on THG's financial performance and the distributions we receive from THG. Our subsidiaries'</w:t>
      </w:r>
    </w:p>
    <w:p>
      <w:pPr>
        <w:spacing w:after="0" w:line="222" w:lineRule="auto"/>
        <w:rPr>
          <w:sz w:val="20"/>
          <w:szCs w:val="20"/>
          <w:color w:val="auto"/>
        </w:rPr>
      </w:pPr>
      <w:r>
        <w:rPr>
          <w:rFonts w:ascii="Times New Roman" w:cs="Times New Roman" w:eastAsia="Times New Roman" w:hAnsi="Times New Roman"/>
          <w:sz w:val="19"/>
          <w:szCs w:val="19"/>
          <w:color w:val="auto"/>
        </w:rPr>
        <w:t>ability to make distributions, pay dividends and make other payments may be regulated by the states and territories where they are domiciled.</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20"/>
          <w:szCs w:val="20"/>
          <w:color w:val="auto"/>
        </w:rPr>
        <w:t>For example, as described below, our ability to upstream capital from Hagerty Re is subject to Bermuda regulatory capital requirements and dividend restrictions administered by the Bermuda Monetary Authority ("BMA"), which may limit distributions in certain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a discussion of the risks associated with our holding company structure, refer to </w:t>
      </w:r>
      <w:r>
        <w:rPr>
          <w:rFonts w:ascii="Times New Roman" w:cs="Times New Roman" w:eastAsia="Times New Roman" w:hAnsi="Times New Roman"/>
          <w:sz w:val="20"/>
          <w:szCs w:val="20"/>
          <w:i w:val="1"/>
          <w:iCs w:val="1"/>
          <w:color w:val="auto"/>
        </w:rPr>
        <w:t>Item 1A. Risk Factors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Risks Related to Tax</w:t>
      </w:r>
      <w:r>
        <w:rPr>
          <w:rFonts w:ascii="Times New Roman" w:cs="Times New Roman" w:eastAsia="Times New Roman" w:hAnsi="Times New Roman"/>
          <w:sz w:val="20"/>
          <w:szCs w:val="20"/>
          <w:color w:val="auto"/>
        </w:rPr>
        <w:t xml:space="preserve"> —</w:t>
      </w:r>
    </w:p>
    <w:p>
      <w:pPr>
        <w:ind w:right="38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Hagerty, Inc. is a holding company, whose only material asset is its interest in THG. Hagerty, Inc. depends on THG distributions to pay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taxes, make payments under the TRA, and pay other expenses.</w:t>
      </w:r>
      <w:r>
        <w:rPr>
          <w:rFonts w:ascii="Times New Roman" w:cs="Times New Roman" w:eastAsia="Times New Roman" w:hAnsi="Times New Roman"/>
          <w:sz w:val="20"/>
          <w:szCs w:val="20"/>
          <w:color w:val="auto"/>
        </w:rPr>
        <w:t>"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Restrictions</w:t>
      </w:r>
    </w:p>
    <w:p>
      <w:pPr>
        <w:spacing w:after="0" w:line="220" w:lineRule="exact"/>
        <w:rPr>
          <w:sz w:val="20"/>
          <w:szCs w:val="20"/>
          <w:color w:val="auto"/>
        </w:rPr>
      </w:pPr>
    </w:p>
    <w:p>
      <w:pPr>
        <w:ind w:right="520"/>
        <w:spacing w:after="0" w:line="227" w:lineRule="auto"/>
        <w:rPr>
          <w:sz w:val="20"/>
          <w:szCs w:val="20"/>
          <w:color w:val="auto"/>
        </w:rPr>
      </w:pPr>
      <w:r>
        <w:rPr>
          <w:rFonts w:ascii="Times New Roman" w:cs="Times New Roman" w:eastAsia="Times New Roman" w:hAnsi="Times New Roman"/>
          <w:sz w:val="19"/>
          <w:szCs w:val="19"/>
          <w:color w:val="auto"/>
        </w:rPr>
        <w:t>Our reinsurance subsidiary, Hagerty Re, is subject to the Bermuda Solvency Capital Requirement ("BSCR"), which establishes a target capital level and enhanced capital requirements for each insurer. As of September 30, 2026, Hagerty Re maintained sufficient statutory</w:t>
      </w:r>
    </w:p>
    <w:p>
      <w:pPr>
        <w:spacing w:after="0"/>
        <w:rPr>
          <w:sz w:val="20"/>
          <w:szCs w:val="20"/>
          <w:color w:val="auto"/>
        </w:rPr>
      </w:pPr>
      <w:r>
        <w:rPr>
          <w:rFonts w:ascii="Times New Roman" w:cs="Times New Roman" w:eastAsia="Times New Roman" w:hAnsi="Times New Roman"/>
          <w:sz w:val="20"/>
          <w:szCs w:val="20"/>
          <w:color w:val="auto"/>
        </w:rPr>
        <w:t>capital and surplus to comply with the BSCR.</w:t>
      </w:r>
    </w:p>
    <w:p>
      <w:pPr>
        <w:spacing w:after="0" w:line="194" w:lineRule="exact"/>
        <w:rPr>
          <w:sz w:val="20"/>
          <w:szCs w:val="20"/>
          <w:color w:val="auto"/>
        </w:rPr>
      </w:pPr>
    </w:p>
    <w:p>
      <w:pPr>
        <w:jc w:val="both"/>
        <w:ind w:right="120"/>
        <w:spacing w:after="0" w:line="227" w:lineRule="auto"/>
        <w:rPr>
          <w:sz w:val="20"/>
          <w:szCs w:val="20"/>
          <w:color w:val="auto"/>
        </w:rPr>
      </w:pPr>
      <w:r>
        <w:rPr>
          <w:rFonts w:ascii="Times New Roman" w:cs="Times New Roman" w:eastAsia="Times New Roman" w:hAnsi="Times New Roman"/>
          <w:sz w:val="19"/>
          <w:szCs w:val="19"/>
          <w:color w:val="auto"/>
        </w:rPr>
        <w:t>Similarly, our U.S. insurance company subsidiary, Drivers Edge, which holds certificates of authority in 42 states, is subject to state-specific minimum capital and surplus requirements, as well as risk-based capital ("RBC") requirements. RBC levels are reported on an annual basis.</w:t>
      </w:r>
    </w:p>
    <w:p>
      <w:pPr>
        <w:ind w:right="240"/>
        <w:spacing w:after="0" w:line="228" w:lineRule="auto"/>
        <w:rPr>
          <w:sz w:val="20"/>
          <w:szCs w:val="20"/>
          <w:color w:val="auto"/>
        </w:rPr>
      </w:pPr>
      <w:r>
        <w:rPr>
          <w:rFonts w:ascii="Times New Roman" w:cs="Times New Roman" w:eastAsia="Times New Roman" w:hAnsi="Times New Roman"/>
          <w:sz w:val="20"/>
          <w:szCs w:val="20"/>
          <w:color w:val="auto"/>
        </w:rPr>
        <w:t>As of September 30, 2026, Drivers Edge maintained sufficient capital and surplus levels to comply with National Association of Insurance Commissioners and state insurance regulations.</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Restrictions</w:t>
      </w:r>
    </w:p>
    <w:p>
      <w:pPr>
        <w:spacing w:after="0" w:line="220"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Under Bermuda law, Hagerty Re is prohibited from declaring or issuing a dividend if it fails to meet its minimum solvency margin or minimum liquidity ratio. Prior approval from the BMA is also required if Hagerty Re's proposed dividend payments would exceed 25% of its</w:t>
      </w:r>
    </w:p>
    <w:p>
      <w:pPr>
        <w:spacing w:after="0" w:line="211" w:lineRule="auto"/>
        <w:rPr>
          <w:sz w:val="20"/>
          <w:szCs w:val="20"/>
          <w:color w:val="auto"/>
        </w:rPr>
      </w:pPr>
      <w:r>
        <w:rPr>
          <w:rFonts w:ascii="Times New Roman" w:cs="Times New Roman" w:eastAsia="Times New Roman" w:hAnsi="Times New Roman"/>
          <w:sz w:val="20"/>
          <w:szCs w:val="20"/>
          <w:color w:val="auto"/>
        </w:rPr>
        <w:t>prior year-end total statutory capital and surplus. Based on these restrictions, during 2026, Hagerty Re can pay $95.4 million in dividends</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0"/>
          <w:szCs w:val="20"/>
          <w:color w:val="auto"/>
        </w:rPr>
        <w:t>without prior BMA approval. Any dividend declared by Hagerty Re is subject to the restrictions described above and to approval by Hagerty Re's board of directors.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9"/>
          <w:szCs w:val="19"/>
          <w:color w:val="auto"/>
        </w:rPr>
        <w:t>Similarly, the law of the state of domicile of Drivers Edge restricts the amount of dividends that Drivers Edge may pay without regulatory approval. Any dividend declared by Drivers Edge is subject to these state restrictions and to approval by Drivers Edge's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of our assets are restricted as to their use. These consist primarily of assets held in trust by Hagerty Re for the benefit of ceding</w:t>
      </w:r>
    </w:p>
    <w:p>
      <w:pPr>
        <w:ind w:right="120"/>
        <w:spacing w:after="0" w:line="221" w:lineRule="auto"/>
        <w:rPr>
          <w:sz w:val="20"/>
          <w:szCs w:val="20"/>
          <w:color w:val="auto"/>
        </w:rPr>
      </w:pPr>
      <w:r>
        <w:rPr>
          <w:rFonts w:ascii="Times New Roman" w:cs="Times New Roman" w:eastAsia="Times New Roman" w:hAnsi="Times New Roman"/>
          <w:sz w:val="20"/>
          <w:szCs w:val="20"/>
          <w:color w:val="auto"/>
        </w:rPr>
        <w:t>insurers, assets on deposit with regulatory authorities in support of Drivers Edge's insurance operations, premiums held in trust by our MGA subsidiaries pending remittance to carriers, and cash held in accounts required under the BAC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2026, our restricted assets totaled $591.3 million, representing a $257.7 million decrease when compared to total</w:t>
      </w:r>
    </w:p>
    <w:p>
      <w:pPr>
        <w:ind w:right="20"/>
        <w:spacing w:after="0" w:line="215" w:lineRule="auto"/>
        <w:rPr>
          <w:sz w:val="20"/>
          <w:szCs w:val="20"/>
          <w:color w:val="auto"/>
        </w:rPr>
      </w:pPr>
      <w:r>
        <w:rPr>
          <w:rFonts w:ascii="Times New Roman" w:cs="Times New Roman" w:eastAsia="Times New Roman" w:hAnsi="Times New Roman"/>
          <w:sz w:val="19"/>
          <w:szCs w:val="19"/>
          <w:color w:val="auto"/>
        </w:rPr>
        <w:t>restricted assets of $849.0 million as of December 31, 2025. Approximately $208.5 million of this decrease relates to assets held in trust for the benefit of Essentia, which decreased during the period due to the lower level of collateral required to be maintained by Hagerty Re for the</w:t>
      </w:r>
    </w:p>
    <w:p>
      <w:pPr>
        <w:spacing w:after="0"/>
        <w:rPr>
          <w:sz w:val="20"/>
          <w:szCs w:val="20"/>
          <w:color w:val="auto"/>
        </w:rPr>
      </w:pPr>
      <w:r>
        <w:rPr>
          <w:rFonts w:ascii="Times New Roman" w:cs="Times New Roman" w:eastAsia="Times New Roman" w:hAnsi="Times New Roman"/>
          <w:sz w:val="20"/>
          <w:szCs w:val="20"/>
          <w:color w:val="auto"/>
        </w:rPr>
        <w:t>benefit of Essentia under the Markel Fronting Arrangement, which became effective January 1, 2026.</w:t>
      </w:r>
    </w:p>
    <w:p>
      <w:pPr>
        <w:spacing w:after="0" w:line="194"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0"/>
          <w:szCs w:val="20"/>
          <w:color w:val="auto"/>
        </w:rPr>
        <w:t>Refer to Note 4 — Supplemental Balance Sheet and Cash Flow Information and Note 20 — Related-Party Transactions in Item 1 of Part I of this Quarterly Report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Comparative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cash flow data for the nine months ended September 30, 2026 and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5"/>
          </w:tcPr>
          <w:p>
            <w:pPr>
              <w:jc w:val="right"/>
              <w:ind w:right="481"/>
              <w:spacing w:after="0"/>
              <w:rPr>
                <w:sz w:val="20"/>
                <w:szCs w:val="20"/>
                <w:color w:val="auto"/>
              </w:rPr>
            </w:pPr>
            <w:r>
              <w:rPr>
                <w:rFonts w:ascii="Times New Roman" w:cs="Times New Roman" w:eastAsia="Times New Roman" w:hAnsi="Times New Roman"/>
                <w:sz w:val="20"/>
                <w:szCs w:val="20"/>
                <w:color w:val="auto"/>
              </w:rPr>
              <w:t>Nine months ended September 30,</w:t>
            </w:r>
          </w:p>
        </w:tc>
        <w:tc>
          <w:tcPr>
            <w:tcW w:w="900" w:type="dxa"/>
            <w:vAlign w:val="bottom"/>
            <w:tcBorders>
              <w:bottom w:val="single" w:sz="8" w:color="auto"/>
            </w:tcBorders>
          </w:tcPr>
          <w:p>
            <w:pPr>
              <w:spacing w:after="0"/>
              <w:rPr>
                <w:sz w:val="22"/>
                <w:szCs w:val="22"/>
                <w:color w:val="auto"/>
              </w:rPr>
            </w:pPr>
          </w:p>
        </w:tc>
      </w:tr>
      <w:tr>
        <w:trPr>
          <w:trHeight w:val="254"/>
        </w:trPr>
        <w:tc>
          <w:tcPr>
            <w:tcW w:w="5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Change</w:t>
            </w:r>
          </w:p>
        </w:tc>
        <w:tc>
          <w:tcPr>
            <w:tcW w:w="900" w:type="dxa"/>
            <w:vAlign w:val="bottom"/>
            <w:tcBorders>
              <w:bottom w:val="single" w:sz="8" w:color="auto"/>
            </w:tcBorders>
          </w:tcPr>
          <w:p>
            <w:pPr>
              <w:spacing w:after="0"/>
              <w:rPr>
                <w:sz w:val="22"/>
                <w:szCs w:val="22"/>
                <w:color w:val="auto"/>
              </w:rPr>
            </w:pPr>
          </w:p>
        </w:tc>
      </w:tr>
      <w:tr>
        <w:trPr>
          <w:trHeight w:val="287"/>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5"/>
          </w:tcPr>
          <w:p>
            <w:pPr>
              <w:jc w:val="right"/>
              <w:ind w:right="501"/>
              <w:spacing w:after="0"/>
              <w:rPr>
                <w:sz w:val="20"/>
                <w:szCs w:val="20"/>
                <w:color w:val="auto"/>
              </w:rPr>
            </w:pPr>
            <w:r>
              <w:rPr>
                <w:rFonts w:ascii="Times New Roman" w:cs="Times New Roman" w:eastAsia="Times New Roman" w:hAnsi="Times New Roman"/>
                <w:sz w:val="20"/>
                <w:szCs w:val="20"/>
                <w:i w:val="1"/>
                <w:iCs w:val="1"/>
                <w:color w:val="auto"/>
              </w:rPr>
              <w:t>in thousands (except percentages)</w:t>
            </w:r>
          </w:p>
        </w:tc>
        <w:tc>
          <w:tcPr>
            <w:tcW w:w="900" w:type="dxa"/>
            <w:vAlign w:val="bottom"/>
          </w:tcPr>
          <w:p>
            <w:pPr>
              <w:spacing w:after="0"/>
              <w:rPr>
                <w:sz w:val="24"/>
                <w:szCs w:val="24"/>
                <w:color w:val="auto"/>
              </w:rPr>
            </w:pPr>
          </w:p>
        </w:tc>
      </w:tr>
      <w:tr>
        <w:trPr>
          <w:trHeight w:val="26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280,145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189,885</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rPr>
              <w:t>90,260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47.5 %</w:t>
            </w:r>
          </w:p>
        </w:tc>
      </w:tr>
      <w:tr>
        <w:trPr>
          <w:trHeight w:val="256"/>
        </w:trPr>
        <w:tc>
          <w:tcPr>
            <w:tcW w:w="5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(66,040)</w:t>
            </w:r>
          </w:p>
        </w:tc>
        <w:tc>
          <w:tcPr>
            <w:tcW w:w="8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(122,806)</w:t>
            </w:r>
          </w:p>
        </w:tc>
        <w:tc>
          <w:tcPr>
            <w:tcW w:w="80" w:type="dxa"/>
            <w:vAlign w:val="bottom"/>
          </w:tcPr>
          <w:p>
            <w:pPr>
              <w:spacing w:after="0"/>
              <w:rPr>
                <w:sz w:val="22"/>
                <w:szCs w:val="22"/>
                <w:color w:val="auto"/>
              </w:rPr>
            </w:pP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56,766</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46.2 %</w:t>
            </w:r>
          </w:p>
        </w:tc>
      </w:tr>
      <w:tr>
        <w:trPr>
          <w:trHeight w:val="25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80,466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30,411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20"/>
                <w:szCs w:val="20"/>
                <w:color w:val="auto"/>
              </w:rPr>
              <w:t>50,055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164.6 %</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provided by operating activities primarily consists of Net income, adjusted for non-cash items, and changes in working capital balances.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provided by operating activities for the nine months ended September 30, 2026 and 2025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20"/>
                <w:szCs w:val="20"/>
                <w:color w:val="auto"/>
              </w:rPr>
              <w:t>Nine months ended September 30,</w:t>
            </w:r>
          </w:p>
        </w:tc>
        <w:tc>
          <w:tcPr>
            <w:tcW w:w="900" w:type="dxa"/>
            <w:vAlign w:val="bottom"/>
            <w:tcBorders>
              <w:bottom w:val="single" w:sz="8" w:color="auto"/>
            </w:tcBorders>
          </w:tcPr>
          <w:p>
            <w:pPr>
              <w:spacing w:after="0"/>
              <w:rPr>
                <w:sz w:val="22"/>
                <w:szCs w:val="22"/>
                <w:color w:val="auto"/>
              </w:rPr>
            </w:pPr>
          </w:p>
        </w:tc>
      </w:tr>
      <w:tr>
        <w:trPr>
          <w:trHeight w:val="254"/>
        </w:trPr>
        <w:tc>
          <w:tcPr>
            <w:tcW w:w="4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2026</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20"/>
                <w:szCs w:val="20"/>
                <w:color w:val="auto"/>
              </w:rPr>
              <w:t>Change</w:t>
            </w:r>
          </w:p>
        </w:tc>
        <w:tc>
          <w:tcPr>
            <w:tcW w:w="900" w:type="dxa"/>
            <w:vAlign w:val="bottom"/>
            <w:tcBorders>
              <w:bottom w:val="single" w:sz="8" w:color="auto"/>
            </w:tcBorders>
          </w:tcPr>
          <w:p>
            <w:pPr>
              <w:spacing w:after="0"/>
              <w:rPr>
                <w:sz w:val="22"/>
                <w:szCs w:val="22"/>
                <w:color w:val="auto"/>
              </w:rPr>
            </w:pPr>
          </w:p>
        </w:tc>
      </w:tr>
      <w:tr>
        <w:trPr>
          <w:trHeight w:val="287"/>
        </w:trPr>
        <w:tc>
          <w:tcPr>
            <w:tcW w:w="4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7"/>
          </w:tcPr>
          <w:p>
            <w:pPr>
              <w:ind w:left="100"/>
              <w:spacing w:after="0"/>
              <w:rPr>
                <w:sz w:val="20"/>
                <w:szCs w:val="20"/>
                <w:color w:val="auto"/>
              </w:rPr>
            </w:pPr>
            <w:r>
              <w:rPr>
                <w:rFonts w:ascii="Times New Roman" w:cs="Times New Roman" w:eastAsia="Times New Roman" w:hAnsi="Times New Roman"/>
                <w:sz w:val="20"/>
                <w:szCs w:val="20"/>
                <w:i w:val="1"/>
                <w:iCs w:val="1"/>
                <w:color w:val="auto"/>
              </w:rPr>
              <w:t>in thousands (except percentages)</w:t>
            </w:r>
          </w:p>
        </w:tc>
        <w:tc>
          <w:tcPr>
            <w:tcW w:w="900" w:type="dxa"/>
            <w:vAlign w:val="bottom"/>
          </w:tcPr>
          <w:p>
            <w:pPr>
              <w:spacing w:after="0"/>
              <w:rPr>
                <w:sz w:val="24"/>
                <w:szCs w:val="24"/>
                <w:color w:val="auto"/>
              </w:rPr>
            </w:pPr>
          </w:p>
        </w:tc>
      </w:tr>
      <w:tr>
        <w:trPr>
          <w:trHeight w:val="26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31,565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120,666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(89,101)</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(73.8)%</w:t>
            </w: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Non-cash adjustments to Net income</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(34,059)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238,344</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213,420</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50"/>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280,145</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189,885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90,260</w:t>
            </w:r>
          </w:p>
        </w:tc>
        <w:tc>
          <w:tcPr>
            <w:tcW w:w="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47.5 %</w:t>
            </w:r>
          </w:p>
        </w:tc>
      </w:tr>
      <w:tr>
        <w:trPr>
          <w:trHeight w:val="21"/>
        </w:trPr>
        <w:tc>
          <w:tcPr>
            <w:tcW w:w="4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cash provided by operating activities for the nine months ended September 30, 2026 was $280.1 million, an increase of $90.3 million, or</w:t>
      </w:r>
    </w:p>
    <w:p>
      <w:pPr>
        <w:spacing w:after="0" w:line="6"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47.5%, compared to 2025. This increase was due to a $213.4 million increase in cash from operating assets and liabilities, partially offset by a $123.2 million decrease in Net income, net of non-cash adjustments. The increase in operating cash flows is primarily driven by our entry</w:t>
      </w:r>
    </w:p>
    <w:p>
      <w:pPr>
        <w:spacing w:after="0" w:line="211" w:lineRule="auto"/>
        <w:rPr>
          <w:sz w:val="20"/>
          <w:szCs w:val="20"/>
          <w:color w:val="auto"/>
        </w:rPr>
      </w:pPr>
      <w:r>
        <w:rPr>
          <w:rFonts w:ascii="Times New Roman" w:cs="Times New Roman" w:eastAsia="Times New Roman" w:hAnsi="Times New Roman"/>
          <w:sz w:val="20"/>
          <w:szCs w:val="20"/>
          <w:color w:val="auto"/>
        </w:rPr>
        <w:t>into the Markel Fronting Arrangement, which became effective on January 1, 2026 and increased Hagerty Re's U.S. quota share from</w:t>
      </w:r>
    </w:p>
    <w:p>
      <w:pPr>
        <w:ind w:right="80"/>
        <w:spacing w:after="0" w:line="215" w:lineRule="auto"/>
        <w:rPr>
          <w:sz w:val="20"/>
          <w:szCs w:val="20"/>
          <w:color w:val="auto"/>
        </w:rPr>
      </w:pPr>
      <w:r>
        <w:rPr>
          <w:rFonts w:ascii="Times New Roman" w:cs="Times New Roman" w:eastAsia="Times New Roman" w:hAnsi="Times New Roman"/>
          <w:sz w:val="19"/>
          <w:szCs w:val="19"/>
          <w:color w:val="auto"/>
        </w:rPr>
        <w:t>approximately 80% to 100%, including for in-force policies written in 2025. In connection with the increase in quota share for in-force 2025 policies, we received cash consideration of $53.7 million, representing the unearned premium for the associated unexpired risk period. In</w:t>
      </w:r>
    </w:p>
    <w:p>
      <w:pPr>
        <w:spacing w:after="0" w:line="211" w:lineRule="auto"/>
        <w:rPr>
          <w:sz w:val="20"/>
          <w:szCs w:val="20"/>
          <w:color w:val="auto"/>
        </w:rPr>
      </w:pPr>
      <w:r>
        <w:rPr>
          <w:rFonts w:ascii="Times New Roman" w:cs="Times New Roman" w:eastAsia="Times New Roman" w:hAnsi="Times New Roman"/>
          <w:sz w:val="20"/>
          <w:szCs w:val="20"/>
          <w:color w:val="auto"/>
        </w:rPr>
        <w:t>addition, as a result of the Markel Fronting Arrangement, premiums and losses are now settled monthly rather than quarterly under the prior</w:t>
      </w:r>
    </w:p>
    <w:p>
      <w:pPr>
        <w:ind w:right="60"/>
        <w:spacing w:after="0" w:line="221" w:lineRule="auto"/>
        <w:rPr>
          <w:sz w:val="20"/>
          <w:szCs w:val="20"/>
          <w:color w:val="auto"/>
        </w:rPr>
      </w:pPr>
      <w:r>
        <w:rPr>
          <w:rFonts w:ascii="Times New Roman" w:cs="Times New Roman" w:eastAsia="Times New Roman" w:hAnsi="Times New Roman"/>
          <w:sz w:val="20"/>
          <w:szCs w:val="20"/>
          <w:color w:val="auto"/>
        </w:rPr>
        <w:t>contractual arrangement. To a lesser extent, the increase in operating cash flows is driven by growth in subject premiums written through our MGA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20"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Cash used in investing activities for the nine months ended September 30, 2026 decreased by $56.8 million when compared to 2025. This decrease is principally due to a $75.5 million decrease in net purchasing activity related to our investment portfolio, partially offset by a</w:t>
      </w:r>
    </w:p>
    <w:p>
      <w:pPr>
        <w:spacing w:after="0"/>
        <w:rPr>
          <w:sz w:val="20"/>
          <w:szCs w:val="20"/>
          <w:color w:val="auto"/>
        </w:rPr>
      </w:pPr>
      <w:r>
        <w:rPr>
          <w:rFonts w:ascii="Times New Roman" w:cs="Times New Roman" w:eastAsia="Times New Roman" w:hAnsi="Times New Roman"/>
          <w:sz w:val="20"/>
          <w:szCs w:val="20"/>
          <w:color w:val="auto"/>
        </w:rPr>
        <w:t>$12.9 million increase in net fundings of BAC notes receivable.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0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Cash from financing activities for the nine months ended September 30, 2026 increased by $50.1 million when compared to 2025, principally due to the LPT Agreement with Markel, which resulted in $50.5 million of cash proceeds, partially offset by $16.9 million of claims</w:t>
      </w:r>
    </w:p>
    <w:p>
      <w:pPr>
        <w:spacing w:after="0" w:line="1" w:lineRule="exact"/>
        <w:rPr>
          <w:sz w:val="20"/>
          <w:szCs w:val="20"/>
          <w:color w:val="auto"/>
        </w:rPr>
      </w:pPr>
    </w:p>
    <w:p>
      <w:pPr>
        <w:ind w:right="500"/>
        <w:spacing w:after="0" w:line="221" w:lineRule="auto"/>
        <w:rPr>
          <w:sz w:val="20"/>
          <w:szCs w:val="20"/>
          <w:color w:val="auto"/>
        </w:rPr>
      </w:pPr>
      <w:r>
        <w:rPr>
          <w:rFonts w:ascii="Times New Roman" w:cs="Times New Roman" w:eastAsia="Times New Roman" w:hAnsi="Times New Roman"/>
          <w:sz w:val="20"/>
          <w:szCs w:val="20"/>
          <w:color w:val="auto"/>
        </w:rPr>
        <w:t>payments made in connection with the LPT Agreement. The comparison to the prior year is also favorably impacted by a $19.4 million decrease in distributions to THG non-controlling interest unit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06"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9"/>
          <w:szCs w:val="19"/>
          <w:color w:val="auto"/>
        </w:rPr>
        <w:t>In connection with the consummation of the business combination that formed Hagerty, Inc. in 2021, Hagerty, Inc. entered into a TRA with the Legacy Unit Holders. The TRA requires us to pay the Legacy Unit Holders 85% of the U.S. federal, state, and local cash tax savings</w:t>
      </w:r>
    </w:p>
    <w:p>
      <w:pPr>
        <w:spacing w:after="0" w:line="1" w:lineRule="exact"/>
        <w:rPr>
          <w:sz w:val="20"/>
          <w:szCs w:val="20"/>
          <w:color w:val="auto"/>
        </w:rPr>
      </w:pPr>
    </w:p>
    <w:p>
      <w:pPr>
        <w:ind w:right="740"/>
        <w:spacing w:after="0" w:line="215" w:lineRule="auto"/>
        <w:rPr>
          <w:sz w:val="20"/>
          <w:szCs w:val="20"/>
          <w:color w:val="auto"/>
        </w:rPr>
      </w:pPr>
      <w:r>
        <w:rPr>
          <w:rFonts w:ascii="Times New Roman" w:cs="Times New Roman" w:eastAsia="Times New Roman" w:hAnsi="Times New Roman"/>
          <w:sz w:val="19"/>
          <w:szCs w:val="19"/>
          <w:color w:val="auto"/>
        </w:rPr>
        <w:t>realized by Hagerty, Inc. resulting from increases in tax basis and certain other tax benefits, as outlined in the Business Combination Agreement, upon the exchange of THG units and shares of Hagerty, Inc. Class V Common Stock for shares of Hagerty, Inc. Class A</w:t>
      </w:r>
    </w:p>
    <w:p>
      <w:pPr>
        <w:spacing w:after="0"/>
        <w:rPr>
          <w:sz w:val="20"/>
          <w:szCs w:val="20"/>
          <w:color w:val="auto"/>
        </w:rPr>
      </w:pPr>
      <w:r>
        <w:rPr>
          <w:rFonts w:ascii="Times New Roman" w:cs="Times New Roman" w:eastAsia="Times New Roman" w:hAnsi="Times New Roman"/>
          <w:sz w:val="20"/>
          <w:szCs w:val="20"/>
          <w:color w:val="auto"/>
        </w:rPr>
        <w:t>Common Stock or cash.</w:t>
      </w:r>
    </w:p>
    <w:p>
      <w:pPr>
        <w:spacing w:after="0" w:line="194" w:lineRule="exact"/>
        <w:rPr>
          <w:sz w:val="20"/>
          <w:szCs w:val="20"/>
          <w:color w:val="auto"/>
        </w:rPr>
      </w:pPr>
    </w:p>
    <w:p>
      <w:pPr>
        <w:ind w:right="580"/>
        <w:spacing w:after="0" w:line="227" w:lineRule="auto"/>
        <w:rPr>
          <w:sz w:val="20"/>
          <w:szCs w:val="20"/>
          <w:color w:val="auto"/>
        </w:rPr>
      </w:pPr>
      <w:r>
        <w:rPr>
          <w:rFonts w:ascii="Times New Roman" w:cs="Times New Roman" w:eastAsia="Times New Roman" w:hAnsi="Times New Roman"/>
          <w:sz w:val="19"/>
          <w:szCs w:val="19"/>
          <w:color w:val="auto"/>
        </w:rPr>
        <w:t>The amount and timing of any payments under the TRA will vary depending on a number of factors, including, but not limited to, the increase in tax basis of THG's assets, the timing of any future redemptions, exchanges or purchases of THG units held by Legacy Unit</w:t>
      </w:r>
    </w:p>
    <w:p>
      <w:pPr>
        <w:spacing w:after="0" w:line="211" w:lineRule="auto"/>
        <w:rPr>
          <w:sz w:val="20"/>
          <w:szCs w:val="20"/>
          <w:color w:val="auto"/>
        </w:rPr>
      </w:pPr>
      <w:r>
        <w:rPr>
          <w:rFonts w:ascii="Times New Roman" w:cs="Times New Roman" w:eastAsia="Times New Roman" w:hAnsi="Times New Roman"/>
          <w:sz w:val="20"/>
          <w:szCs w:val="20"/>
          <w:color w:val="auto"/>
        </w:rPr>
        <w:t>Holders, the price of Hagerty, Inc. Class A Common Stock at the time of the redemption, exchange or purchase, the extent to which</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redemptions or exchanges are taxable, the amount and timing of the taxable income that Hagerty, Inc. generates in the future, the tax rates then applicable, and the portion of the payments under the TRA constituting imputed interest. We expect to have adequate capital resources</w:t>
      </w:r>
    </w:p>
    <w:p>
      <w:pPr>
        <w:spacing w:after="0"/>
        <w:rPr>
          <w:sz w:val="20"/>
          <w:szCs w:val="20"/>
          <w:color w:val="auto"/>
        </w:rPr>
      </w:pPr>
      <w:r>
        <w:rPr>
          <w:rFonts w:ascii="Times New Roman" w:cs="Times New Roman" w:eastAsia="Times New Roman" w:hAnsi="Times New Roman"/>
          <w:sz w:val="20"/>
          <w:szCs w:val="20"/>
          <w:color w:val="auto"/>
        </w:rPr>
        <w:t>to meet the requirements and obligations under the TRA entered into with the Legacy Unit 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19 — Taxation in Item 1 of Part I of this Quarterly Report for information related to the TRA.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preparation of the unaudited Condensed Consolidated Financial Statements in accordance with GAAP requires management to make</w:t>
      </w:r>
    </w:p>
    <w:p>
      <w:pPr>
        <w:ind w:right="200"/>
        <w:spacing w:after="0" w:line="215" w:lineRule="auto"/>
        <w:rPr>
          <w:sz w:val="20"/>
          <w:szCs w:val="20"/>
          <w:color w:val="auto"/>
        </w:rPr>
      </w:pPr>
      <w:r>
        <w:rPr>
          <w:rFonts w:ascii="Times New Roman" w:cs="Times New Roman" w:eastAsia="Times New Roman" w:hAnsi="Times New Roman"/>
          <w:sz w:val="19"/>
          <w:szCs w:val="19"/>
          <w:color w:val="auto"/>
        </w:rPr>
        <w:t>significant judgments, assumptions, and estimates that materially affect the amounts reported in our Condensed Consolidated Financial Statements. Management's judgments, assumptions, and estimates are based on historical experience, future expectations, and other factors</w:t>
      </w:r>
    </w:p>
    <w:p>
      <w:pPr>
        <w:ind w:right="320"/>
        <w:spacing w:after="0" w:line="228" w:lineRule="auto"/>
        <w:rPr>
          <w:sz w:val="20"/>
          <w:szCs w:val="20"/>
          <w:color w:val="auto"/>
        </w:rPr>
      </w:pPr>
      <w:r>
        <w:rPr>
          <w:rFonts w:ascii="Times New Roman" w:cs="Times New Roman" w:eastAsia="Times New Roman" w:hAnsi="Times New Roman"/>
          <w:sz w:val="20"/>
          <w:szCs w:val="20"/>
          <w:color w:val="auto"/>
        </w:rPr>
        <w:t>that are believed to be reasonable as of the date of the Condensed Consolidated Financial Statements. Actual results may ultimately differ from management's original estimates, as future events and circumstances sometimes do not develop as expected.</w:t>
      </w:r>
    </w:p>
    <w:p>
      <w:pPr>
        <w:spacing w:after="0" w:line="176" w:lineRule="exact"/>
        <w:rPr>
          <w:sz w:val="20"/>
          <w:szCs w:val="20"/>
          <w:color w:val="auto"/>
        </w:rPr>
      </w:pPr>
    </w:p>
    <w:p>
      <w:pPr>
        <w:ind w:right="700"/>
        <w:spacing w:after="0"/>
        <w:rPr>
          <w:sz w:val="20"/>
          <w:szCs w:val="20"/>
          <w:color w:val="auto"/>
        </w:rPr>
      </w:pPr>
      <w:r>
        <w:rPr>
          <w:rFonts w:ascii="Times New Roman" w:cs="Times New Roman" w:eastAsia="Times New Roman" w:hAnsi="Times New Roman"/>
          <w:sz w:val="20"/>
          <w:szCs w:val="20"/>
          <w:color w:val="auto"/>
        </w:rPr>
        <w:t>Our accounting policies are set forth in Note 2 — Summary of Significant Accounting Policies to Consolidated Financial Statements contained in our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Standards</w:t>
      </w:r>
    </w:p>
    <w:p>
      <w:pPr>
        <w:spacing w:after="0" w:line="206"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color w:val="auto"/>
        </w:rPr>
        <w:t>New accounting standards are described in Note 2 — Summary of Significant Accounting Policies in Item 1 of Part I of this Quarterly Report, which are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06"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0"/>
          <w:szCs w:val="20"/>
          <w:color w:val="auto"/>
        </w:rPr>
        <w:t>There have been no material changes to our market risk during the nine months ended September 30, 2026. For a discussion of our exposure to market risk, refer to the market risk disclosures set forth in Item 7A of Part II, "Quantitative and Qualitative Disclosures About Market Risk" in our Annual Report.</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0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evaluated the effectiveness of our disclosure controls and procedures (as such term is defined in Rules 13a-15(e) and 15d-15(e) under the Securities Exchange Act of 1934, as amended (the "Exchange Act")) as of the end of the period covered by this Quarterly Report.</w:t>
      </w:r>
    </w:p>
    <w:p>
      <w:pPr>
        <w:spacing w:after="0" w:line="176"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Based on that evaluation, our Chief Executive Officer and Chief Financial Officer concluded that our disclosure controls and procedures were effective as of September 30,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06"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19"/>
          <w:szCs w:val="19"/>
          <w:color w:val="auto"/>
        </w:rPr>
        <w:t>There were no changes to our internal control over financial reporting that occurred during the three months ended September 30,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38" w:right="49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06" w:lineRule="exact"/>
        <w:rPr>
          <w:sz w:val="20"/>
          <w:szCs w:val="20"/>
          <w:color w:val="auto"/>
        </w:rPr>
      </w:pPr>
    </w:p>
    <w:p>
      <w:pPr>
        <w:jc w:val="both"/>
        <w:ind w:right="220"/>
        <w:spacing w:after="0" w:line="230" w:lineRule="auto"/>
        <w:rPr>
          <w:sz w:val="20"/>
          <w:szCs w:val="20"/>
          <w:color w:val="auto"/>
        </w:rPr>
      </w:pPr>
      <w:r>
        <w:rPr>
          <w:rFonts w:ascii="Times New Roman" w:cs="Times New Roman" w:eastAsia="Times New Roman" w:hAnsi="Times New Roman"/>
          <w:sz w:val="20"/>
          <w:szCs w:val="20"/>
          <w:color w:val="auto"/>
        </w:rPr>
        <w:t>From time to time, we are involved in various claims and legal actions that arise in the ordinary course of business. Although the results of litigation and claims cannot be predicted with certainty, we do not believe that the ultimate resolution of these actions will have a material adverse effect on our financial position, results of operations, liquidity or capital resources.</w:t>
      </w:r>
    </w:p>
    <w:p>
      <w:pPr>
        <w:spacing w:after="0" w:line="176"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9"/>
          <w:szCs w:val="19"/>
          <w:color w:val="auto"/>
        </w:rPr>
        <w:t>Future litigation may be necessary to defend ourselves and our partners by determining the scope, enforceability and validity of third-party proprietary rights or to establish our proprietary rights. The results of any current or future litigation cannot be predicted with certainty, and</w:t>
      </w:r>
    </w:p>
    <w:p>
      <w:pPr>
        <w:spacing w:after="0" w:line="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20"/>
          <w:szCs w:val="20"/>
          <w:color w:val="auto"/>
        </w:rPr>
        <w:t>regardless of the outcome, litigation can have an adverse impact on us because of defense and settlement costs, diversion of management resources and other factors.</w:t>
      </w:r>
    </w:p>
    <w:p>
      <w:pPr>
        <w:spacing w:after="0" w:line="189"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color w:val="auto"/>
        </w:rPr>
        <w:t>Refer to Note 21 — Commitments and Contingencies in Item 1 of Part I of this Quarterly Report for additional information related to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the date of this Quarterly Report, there have been no material changes to our risk factors as previously disclosed in our Annual Report.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We may disclose changes to such factors or disclose additional factors from time to time in our future filings with the SEC. Additional risks that we currently do not know about or currently view as immaterial may also materially adversely affect our business, financial condition, or</w:t>
      </w:r>
    </w:p>
    <w:p>
      <w:pPr>
        <w:spacing w:after="0"/>
        <w:rPr>
          <w:sz w:val="20"/>
          <w:szCs w:val="20"/>
          <w:color w:val="auto"/>
        </w:rPr>
      </w:pPr>
      <w:r>
        <w:rPr>
          <w:rFonts w:ascii="Times New Roman" w:cs="Times New Roman" w:eastAsia="Times New Roman" w:hAnsi="Times New Roman"/>
          <w:sz w:val="20"/>
          <w:szCs w:val="20"/>
          <w:color w:val="auto"/>
        </w:rPr>
        <w:t>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UNREGISTERED SALES OF EQUITY SECURITIES AND USE OF PROCEEDS</w:t>
      </w:r>
    </w:p>
    <w:p>
      <w:pPr>
        <w:spacing w:after="0" w:line="20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During the three months ended September 30, 2026, we did not sell any equity securities that were not registered under the Securities Act of 1933, as amended.</w:t>
      </w:r>
    </w:p>
    <w:p>
      <w:pPr>
        <w:spacing w:after="0" w:line="175"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auto"/>
        </w:rPr>
        <w:t>During the three months ended September 30, 2026, neither we nor any "affiliated purchaser" (as defined in Rule 10b-18(a)(3) under the Exchange Act) repurchased any shares of the Company's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DEFAULTS UPON SENIOR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Trading Arrangements of Directors and Executive Officers</w:t>
      </w:r>
    </w:p>
    <w:p>
      <w:pPr>
        <w:spacing w:after="0" w:line="220"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During the three months ended September 30, 2026, no director or executive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20" w:lineRule="exact"/>
        <w:rPr>
          <w:sz w:val="20"/>
          <w:szCs w:val="20"/>
          <w:color w:val="auto"/>
        </w:rPr>
      </w:pPr>
    </w:p>
    <w:p>
      <w:pPr>
        <w:ind w:firstLine="8"/>
        <w:spacing w:after="0" w:line="233" w:lineRule="auto"/>
        <w:tabs>
          <w:tab w:leader="none" w:pos="26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and financial statement schedules filed as part of this report are listed in the index included in Item 1 of Part I of this Quarterly Report.</w:t>
      </w:r>
    </w:p>
    <w:p>
      <w:pPr>
        <w:spacing w:after="0" w:line="183"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Exhibits. </w:t>
      </w:r>
      <w:r>
        <w:rPr>
          <w:rFonts w:ascii="Times New Roman" w:cs="Times New Roman" w:eastAsia="Times New Roman" w:hAnsi="Times New Roman"/>
          <w:sz w:val="20"/>
          <w:szCs w:val="20"/>
          <w:color w:val="auto"/>
        </w:rPr>
        <w:t>As required by Item 601 of Regulation S-K, the following are exhibits to this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26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Exhibit No.</w:t>
            </w:r>
          </w:p>
        </w:tc>
        <w:tc>
          <w:tcPr>
            <w:tcW w:w="10000" w:type="dxa"/>
            <w:vAlign w:val="bottom"/>
            <w:gridSpan w:val="34"/>
          </w:tcPr>
          <w:p>
            <w:pPr>
              <w:ind w:left="26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195"/>
        </w:trPr>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40" w:type="dxa"/>
            <w:vAlign w:val="bottom"/>
            <w:gridSpan w:val="33"/>
            <w:shd w:val="clear" w:color="auto" w:fill="CCEEFF"/>
          </w:tcPr>
          <w:p>
            <w:pPr>
              <w:spacing w:after="0" w:line="194" w:lineRule="exact"/>
              <w:rPr>
                <w:rFonts w:ascii="Times New Roman" w:cs="Times New Roman" w:eastAsia="Times New Roman" w:hAnsi="Times New Roman"/>
                <w:sz w:val="19"/>
                <w:szCs w:val="19"/>
                <w:color w:val="0000FF"/>
              </w:rPr>
            </w:pPr>
            <w:hyperlink r:id="rId101">
              <w:r>
                <w:rPr>
                  <w:rFonts w:ascii="Times New Roman" w:cs="Times New Roman" w:eastAsia="Times New Roman" w:hAnsi="Times New Roman"/>
                  <w:sz w:val="19"/>
                  <w:szCs w:val="19"/>
                  <w:color w:val="0000FF"/>
                </w:rPr>
                <w:t>Underwriting Agreement, dated as of September 9, 2026, by and among Hagerty, Inc., The Hagerty Group, LLC, Hagerty</w:t>
              </w:r>
            </w:hyperlink>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1.1</w:t>
            </w:r>
          </w:p>
        </w:tc>
        <w:tc>
          <w:tcPr>
            <w:tcW w:w="360" w:type="dxa"/>
            <w:vAlign w:val="bottom"/>
            <w:tcBorders>
              <w:top w:val="single" w:sz="8" w:color="CCEEFF"/>
            </w:tcBorders>
            <w:shd w:val="clear" w:color="auto" w:fill="CCEEFF"/>
          </w:tcPr>
          <w:p>
            <w:pPr>
              <w:spacing w:after="0"/>
              <w:rPr>
                <w:sz w:val="14"/>
                <w:szCs w:val="14"/>
                <w:color w:val="auto"/>
              </w:rPr>
            </w:pPr>
          </w:p>
        </w:tc>
        <w:tc>
          <w:tcPr>
            <w:tcW w:w="920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9"/>
                <w:szCs w:val="19"/>
                <w:color w:val="0000FF"/>
                <w:w w:val="98"/>
              </w:rPr>
            </w:pPr>
            <w:hyperlink r:id="rId101">
              <w:r>
                <w:rPr>
                  <w:rFonts w:ascii="Times New Roman" w:cs="Times New Roman" w:eastAsia="Times New Roman" w:hAnsi="Times New Roman"/>
                  <w:sz w:val="19"/>
                  <w:szCs w:val="19"/>
                  <w:color w:val="0000FF"/>
                  <w:w w:val="98"/>
                </w:rPr>
                <w:t>Holding Corp., Wells Fargo Securities, LLC, and J.P. Morgan Securities LLC (incorporated by reference to Exhibit 1.1 of</w:t>
              </w:r>
            </w:hyperlink>
          </w:p>
        </w:tc>
        <w:tc>
          <w:tcPr>
            <w:tcW w:w="440" w:type="dxa"/>
            <w:vAlign w:val="bottom"/>
            <w:tcBorders>
              <w:top w:val="single" w:sz="8" w:color="CCEEFF"/>
            </w:tcBorders>
            <w:gridSpan w:val="16"/>
            <w:shd w:val="clear" w:color="auto" w:fill="CCEEFF"/>
          </w:tcPr>
          <w:p>
            <w:pPr>
              <w:ind w:left="40"/>
              <w:spacing w:after="0" w:line="169" w:lineRule="exact"/>
              <w:rPr>
                <w:rFonts w:ascii="Times New Roman" w:cs="Times New Roman" w:eastAsia="Times New Roman" w:hAnsi="Times New Roman"/>
                <w:sz w:val="19"/>
                <w:szCs w:val="19"/>
                <w:color w:val="0000FF"/>
              </w:rPr>
            </w:pPr>
            <w:hyperlink r:id="rId101">
              <w:r>
                <w:rPr>
                  <w:rFonts w:ascii="Times New Roman" w:cs="Times New Roman" w:eastAsia="Times New Roman" w:hAnsi="Times New Roman"/>
                  <w:sz w:val="19"/>
                  <w:szCs w:val="19"/>
                  <w:color w:val="0000FF"/>
                </w:rPr>
                <w:t>the</w:t>
              </w:r>
            </w:hyperlink>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6720" w:type="dxa"/>
            <w:vAlign w:val="bottom"/>
            <w:tcBorders>
              <w:top w:val="single" w:sz="8" w:color="0000FF"/>
              <w:bottom w:val="single" w:sz="8" w:color="0000FF"/>
            </w:tcBorders>
            <w:gridSpan w:val="12"/>
            <w:shd w:val="clear" w:color="auto" w:fill="CCEEFF"/>
          </w:tcPr>
          <w:p>
            <w:pPr>
              <w:spacing w:after="0" w:line="169" w:lineRule="exact"/>
              <w:rPr>
                <w:rFonts w:ascii="Times New Roman" w:cs="Times New Roman" w:eastAsia="Times New Roman" w:hAnsi="Times New Roman"/>
                <w:sz w:val="19"/>
                <w:szCs w:val="19"/>
                <w:color w:val="0000FF"/>
                <w:w w:val="98"/>
              </w:rPr>
            </w:pPr>
            <w:hyperlink r:id="rId101">
              <w:r>
                <w:rPr>
                  <w:rFonts w:ascii="Times New Roman" w:cs="Times New Roman" w:eastAsia="Times New Roman" w:hAnsi="Times New Roman"/>
                  <w:sz w:val="19"/>
                  <w:szCs w:val="19"/>
                  <w:color w:val="0000FF"/>
                  <w:w w:val="98"/>
                </w:rPr>
                <w:t>Company’s Form 8-K (File No. 001-40244), filed with the SEC on September 11, 2026).</w:t>
              </w:r>
            </w:hyperlink>
          </w:p>
        </w:tc>
        <w:tc>
          <w:tcPr>
            <w:tcW w:w="2740" w:type="dxa"/>
            <w:vAlign w:val="bottom"/>
            <w:tcBorders>
              <w:top w:val="single" w:sz="8" w:color="0000FF"/>
              <w:bottom w:val="single" w:sz="8" w:color="CCEEFF"/>
            </w:tcBorders>
            <w:gridSpan w:val="1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40" w:type="dxa"/>
            <w:vAlign w:val="bottom"/>
            <w:gridSpan w:val="33"/>
          </w:tcPr>
          <w:p>
            <w:pPr>
              <w:spacing w:after="0" w:line="189" w:lineRule="exact"/>
              <w:rPr>
                <w:rFonts w:ascii="Times New Roman" w:cs="Times New Roman" w:eastAsia="Times New Roman" w:hAnsi="Times New Roman"/>
                <w:sz w:val="19"/>
                <w:szCs w:val="19"/>
                <w:color w:val="0000FF"/>
              </w:rPr>
            </w:pPr>
            <w:hyperlink r:id="rId102">
              <w:r>
                <w:rPr>
                  <w:rFonts w:ascii="Times New Roman" w:cs="Times New Roman" w:eastAsia="Times New Roman" w:hAnsi="Times New Roman"/>
                  <w:sz w:val="19"/>
                  <w:szCs w:val="19"/>
                  <w:color w:val="0000FF"/>
                </w:rPr>
                <w:t>Business Combination Agreement, dated as of August 17, 2021, by and among Aldel Financial Inc. Aldel Merger Sub LLC</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2.1*</w:t>
            </w:r>
          </w:p>
        </w:tc>
        <w:tc>
          <w:tcPr>
            <w:tcW w:w="360" w:type="dxa"/>
            <w:vAlign w:val="bottom"/>
          </w:tcPr>
          <w:p>
            <w:pPr>
              <w:spacing w:after="0"/>
              <w:rPr>
                <w:sz w:val="14"/>
                <w:szCs w:val="14"/>
                <w:color w:val="auto"/>
              </w:rPr>
            </w:pPr>
          </w:p>
        </w:tc>
        <w:tc>
          <w:tcPr>
            <w:tcW w:w="9380" w:type="dxa"/>
            <w:vAlign w:val="bottom"/>
            <w:tcBorders>
              <w:top w:val="single" w:sz="8" w:color="0000FF"/>
            </w:tcBorders>
            <w:gridSpan w:val="23"/>
          </w:tcPr>
          <w:p>
            <w:pPr>
              <w:spacing w:after="0" w:line="169" w:lineRule="exact"/>
              <w:rPr>
                <w:rFonts w:ascii="Times New Roman" w:cs="Times New Roman" w:eastAsia="Times New Roman" w:hAnsi="Times New Roman"/>
                <w:sz w:val="19"/>
                <w:szCs w:val="19"/>
                <w:color w:val="0000FF"/>
              </w:rPr>
            </w:pPr>
            <w:hyperlink r:id="rId102">
              <w:r>
                <w:rPr>
                  <w:rFonts w:ascii="Times New Roman" w:cs="Times New Roman" w:eastAsia="Times New Roman" w:hAnsi="Times New Roman"/>
                  <w:sz w:val="19"/>
                  <w:szCs w:val="19"/>
                  <w:color w:val="0000FF"/>
                </w:rPr>
                <w:t>and The Hagerty Group, LLC (incorporated by reference to Exhibit 2.1 of the Company’s Form 8-K (File No. 001-40244),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80" w:type="dxa"/>
            <w:vAlign w:val="bottom"/>
            <w:tcBorders>
              <w:top w:val="single" w:sz="8" w:color="0000FF"/>
            </w:tcBorders>
            <w:gridSpan w:val="18"/>
          </w:tcPr>
          <w:p>
            <w:pPr>
              <w:spacing w:after="0" w:line="169" w:lineRule="exact"/>
              <w:rPr>
                <w:rFonts w:ascii="Times New Roman" w:cs="Times New Roman" w:eastAsia="Times New Roman" w:hAnsi="Times New Roman"/>
                <w:sz w:val="19"/>
                <w:szCs w:val="19"/>
                <w:color w:val="0000FF"/>
              </w:rPr>
            </w:pPr>
            <w:hyperlink r:id="rId102">
              <w:r>
                <w:rPr>
                  <w:rFonts w:ascii="Times New Roman" w:cs="Times New Roman" w:eastAsia="Times New Roman" w:hAnsi="Times New Roman"/>
                  <w:sz w:val="19"/>
                  <w:szCs w:val="19"/>
                  <w:color w:val="0000FF"/>
                </w:rPr>
                <w:t>filed with the SEC on August 18,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40" w:type="dxa"/>
            <w:vAlign w:val="bottom"/>
            <w:gridSpan w:val="33"/>
            <w:shd w:val="clear" w:color="auto" w:fill="CCEEFF"/>
          </w:tcPr>
          <w:p>
            <w:pPr>
              <w:spacing w:after="0" w:line="189" w:lineRule="exact"/>
              <w:rPr>
                <w:rFonts w:ascii="Times New Roman" w:cs="Times New Roman" w:eastAsia="Times New Roman" w:hAnsi="Times New Roman"/>
                <w:sz w:val="19"/>
                <w:szCs w:val="19"/>
                <w:color w:val="0000FF"/>
                <w:w w:val="99"/>
              </w:rPr>
            </w:pPr>
            <w:hyperlink r:id="rId103">
              <w:r>
                <w:rPr>
                  <w:rFonts w:ascii="Times New Roman" w:cs="Times New Roman" w:eastAsia="Times New Roman" w:hAnsi="Times New Roman"/>
                  <w:sz w:val="19"/>
                  <w:szCs w:val="19"/>
                  <w:color w:val="0000FF"/>
                  <w:w w:val="99"/>
                </w:rPr>
                <w:t>Third Amended and Restated Certificate of Incorporation of the Company, dated December 2, 2021 (incorporated by reference</w:t>
              </w:r>
            </w:hyperlink>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3.1</w:t>
            </w:r>
          </w:p>
        </w:tc>
        <w:tc>
          <w:tcPr>
            <w:tcW w:w="360" w:type="dxa"/>
            <w:vAlign w:val="bottom"/>
            <w:tcBorders>
              <w:top w:val="single" w:sz="8" w:color="CCEEFF"/>
            </w:tcBorders>
            <w:shd w:val="clear" w:color="auto" w:fill="CCEEFF"/>
          </w:tcPr>
          <w:p>
            <w:pPr>
              <w:spacing w:after="0"/>
              <w:rPr>
                <w:sz w:val="14"/>
                <w:szCs w:val="14"/>
                <w:color w:val="auto"/>
              </w:rPr>
            </w:pPr>
          </w:p>
        </w:tc>
        <w:tc>
          <w:tcPr>
            <w:tcW w:w="960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9"/>
                <w:szCs w:val="19"/>
                <w:color w:val="0000FF"/>
              </w:rPr>
            </w:pPr>
            <w:hyperlink r:id="rId103">
              <w:r>
                <w:rPr>
                  <w:rFonts w:ascii="Times New Roman" w:cs="Times New Roman" w:eastAsia="Times New Roman" w:hAnsi="Times New Roman"/>
                  <w:sz w:val="19"/>
                  <w:szCs w:val="19"/>
                  <w:color w:val="0000FF"/>
                </w:rPr>
                <w:t>to Exhibit 3.1 of the Company’s Amendment No.3 to Form S-1 (File No. 333-261810), filed with the SEC on January 20,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vMerge w:val="continue"/>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9"/>
                <w:szCs w:val="19"/>
                <w:color w:val="0000FF"/>
              </w:rPr>
            </w:pPr>
            <w:hyperlink r:id="rId103">
              <w:r>
                <w:rPr>
                  <w:rFonts w:ascii="Times New Roman" w:cs="Times New Roman" w:eastAsia="Times New Roman" w:hAnsi="Times New Roman"/>
                  <w:sz w:val="19"/>
                  <w:szCs w:val="19"/>
                  <w:color w:val="0000FF"/>
                </w:rPr>
                <w:t>2023).</w:t>
              </w:r>
            </w:hyperlink>
          </w:p>
        </w:tc>
        <w:tc>
          <w:tcPr>
            <w:tcW w:w="226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18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13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3.2</w:t>
            </w:r>
          </w:p>
        </w:tc>
        <w:tc>
          <w:tcPr>
            <w:tcW w:w="360" w:type="dxa"/>
            <w:vAlign w:val="bottom"/>
          </w:tcPr>
          <w:p>
            <w:pPr>
              <w:spacing w:after="0"/>
              <w:rPr>
                <w:sz w:val="16"/>
                <w:szCs w:val="16"/>
                <w:color w:val="auto"/>
              </w:rPr>
            </w:pPr>
          </w:p>
        </w:tc>
        <w:tc>
          <w:tcPr>
            <w:tcW w:w="9640" w:type="dxa"/>
            <w:vAlign w:val="bottom"/>
            <w:gridSpan w:val="33"/>
          </w:tcPr>
          <w:p>
            <w:pPr>
              <w:spacing w:after="0" w:line="189" w:lineRule="exact"/>
              <w:rPr>
                <w:rFonts w:ascii="Times New Roman" w:cs="Times New Roman" w:eastAsia="Times New Roman" w:hAnsi="Times New Roman"/>
                <w:sz w:val="19"/>
                <w:szCs w:val="19"/>
                <w:color w:val="0000FF"/>
              </w:rPr>
            </w:pPr>
            <w:hyperlink r:id="rId104">
              <w:r>
                <w:rPr>
                  <w:rFonts w:ascii="Times New Roman" w:cs="Times New Roman" w:eastAsia="Times New Roman" w:hAnsi="Times New Roman"/>
                  <w:sz w:val="19"/>
                  <w:szCs w:val="19"/>
                  <w:color w:val="0000FF"/>
                </w:rPr>
                <w:t>Amended and Restated By-Laws of the Company, dated December 2, 2021 (incorporated by reference to Exhibit 3.2 of the</w:t>
              </w:r>
            </w:hyperlink>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320" w:type="dxa"/>
            <w:vAlign w:val="bottom"/>
            <w:tcBorders>
              <w:top w:val="single" w:sz="8" w:color="0000FF"/>
            </w:tcBorders>
            <w:gridSpan w:val="20"/>
          </w:tcPr>
          <w:p>
            <w:pPr>
              <w:spacing w:after="0" w:line="169" w:lineRule="exact"/>
              <w:rPr>
                <w:rFonts w:ascii="Times New Roman" w:cs="Times New Roman" w:eastAsia="Times New Roman" w:hAnsi="Times New Roman"/>
                <w:sz w:val="19"/>
                <w:szCs w:val="19"/>
                <w:color w:val="0000FF"/>
              </w:rPr>
            </w:pPr>
            <w:hyperlink r:id="rId104">
              <w:r>
                <w:rPr>
                  <w:rFonts w:ascii="Times New Roman" w:cs="Times New Roman" w:eastAsia="Times New Roman" w:hAnsi="Times New Roman"/>
                  <w:sz w:val="19"/>
                  <w:szCs w:val="19"/>
                  <w:color w:val="0000FF"/>
                </w:rPr>
                <w:t>Company’s Form 8-K (File No. 001-40244), filed with the SEC on December 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0" w:type="dxa"/>
            <w:vAlign w:val="bottom"/>
            <w:tcBorders>
              <w:bottom w:val="single" w:sz="8" w:color="0000FF"/>
            </w:tcBorders>
            <w:gridSpan w:val="24"/>
            <w:shd w:val="clear" w:color="auto" w:fill="CCEEFF"/>
          </w:tcPr>
          <w:p>
            <w:pPr>
              <w:spacing w:after="0" w:line="189" w:lineRule="exact"/>
              <w:rPr>
                <w:rFonts w:ascii="Times New Roman" w:cs="Times New Roman" w:eastAsia="Times New Roman" w:hAnsi="Times New Roman"/>
                <w:sz w:val="19"/>
                <w:szCs w:val="19"/>
                <w:color w:val="0000FF"/>
                <w:w w:val="99"/>
              </w:rPr>
            </w:pPr>
            <w:hyperlink r:id="rId105">
              <w:r>
                <w:rPr>
                  <w:rFonts w:ascii="Times New Roman" w:cs="Times New Roman" w:eastAsia="Times New Roman" w:hAnsi="Times New Roman"/>
                  <w:sz w:val="19"/>
                  <w:szCs w:val="19"/>
                  <w:color w:val="0000FF"/>
                  <w:w w:val="99"/>
                </w:rPr>
                <w:t>Certificate of Designations, Preferences and Rights of Series A Convertible Preferred Stock of the Company dated June 23,</w:t>
              </w:r>
            </w:hyperlink>
          </w:p>
        </w:tc>
        <w:tc>
          <w:tcPr>
            <w:tcW w:w="240" w:type="dxa"/>
            <w:vAlign w:val="bottom"/>
            <w:tcBorders>
              <w:bottom w:val="single" w:sz="8" w:color="CCEEFF"/>
            </w:tcBorders>
            <w:gridSpan w:val="9"/>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3.3</w:t>
            </w:r>
          </w:p>
        </w:tc>
        <w:tc>
          <w:tcPr>
            <w:tcW w:w="360" w:type="dxa"/>
            <w:vAlign w:val="bottom"/>
            <w:shd w:val="clear" w:color="auto" w:fill="CCEEFF"/>
          </w:tcPr>
          <w:p>
            <w:pPr>
              <w:spacing w:after="0"/>
              <w:rPr>
                <w:sz w:val="14"/>
                <w:szCs w:val="14"/>
                <w:color w:val="auto"/>
              </w:rPr>
            </w:pPr>
          </w:p>
        </w:tc>
        <w:tc>
          <w:tcPr>
            <w:tcW w:w="9640" w:type="dxa"/>
            <w:vAlign w:val="bottom"/>
            <w:gridSpan w:val="33"/>
            <w:shd w:val="clear" w:color="auto" w:fill="CCEEFF"/>
          </w:tcPr>
          <w:p>
            <w:pPr>
              <w:spacing w:after="0" w:line="169" w:lineRule="exact"/>
              <w:rPr>
                <w:rFonts w:ascii="Times New Roman" w:cs="Times New Roman" w:eastAsia="Times New Roman" w:hAnsi="Times New Roman"/>
                <w:sz w:val="19"/>
                <w:szCs w:val="19"/>
                <w:color w:val="0000FF"/>
              </w:rPr>
            </w:pPr>
            <w:hyperlink r:id="rId105">
              <w:r>
                <w:rPr>
                  <w:rFonts w:ascii="Times New Roman" w:cs="Times New Roman" w:eastAsia="Times New Roman" w:hAnsi="Times New Roman"/>
                  <w:sz w:val="19"/>
                  <w:szCs w:val="19"/>
                  <w:color w:val="0000FF"/>
                </w:rPr>
                <w:t>2023 (incorporated by reference to Exhibit 3.1 of the Company’s Form 8-K (File No. 001-40244), filed with the SEC on June</w:t>
              </w:r>
            </w:hyperlink>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9"/>
                <w:szCs w:val="19"/>
                <w:color w:val="0000FF"/>
                <w:w w:val="97"/>
              </w:rPr>
            </w:pPr>
            <w:hyperlink r:id="rId105">
              <w:r>
                <w:rPr>
                  <w:rFonts w:ascii="Times New Roman" w:cs="Times New Roman" w:eastAsia="Times New Roman" w:hAnsi="Times New Roman"/>
                  <w:sz w:val="19"/>
                  <w:szCs w:val="19"/>
                  <w:color w:val="0000FF"/>
                  <w:w w:val="97"/>
                </w:rPr>
                <w:t>23, 2023).</w:t>
              </w:r>
            </w:hyperlink>
          </w:p>
        </w:tc>
        <w:tc>
          <w:tcPr>
            <w:tcW w:w="226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CCEEFF"/>
            </w:tcBorders>
            <w:shd w:val="clear" w:color="auto" w:fill="CCEEFF"/>
          </w:tcPr>
          <w:p>
            <w:pPr>
              <w:spacing w:after="0"/>
              <w:rPr>
                <w:sz w:val="17"/>
                <w:szCs w:val="17"/>
                <w:color w:val="auto"/>
              </w:rPr>
            </w:pPr>
          </w:p>
        </w:tc>
        <w:tc>
          <w:tcPr>
            <w:tcW w:w="18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5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660" w:type="dxa"/>
            <w:vAlign w:val="bottom"/>
            <w:tcBorders>
              <w:top w:val="single" w:sz="8" w:color="0000FF"/>
              <w:bottom w:val="single" w:sz="8" w:color="CCEEFF"/>
            </w:tcBorders>
            <w:shd w:val="clear" w:color="auto" w:fill="CCEEFF"/>
          </w:tcPr>
          <w:p>
            <w:pPr>
              <w:spacing w:after="0"/>
              <w:rPr>
                <w:sz w:val="17"/>
                <w:szCs w:val="17"/>
                <w:color w:val="auto"/>
              </w:rPr>
            </w:pPr>
          </w:p>
        </w:tc>
        <w:tc>
          <w:tcPr>
            <w:tcW w:w="13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10.1^</w:t>
            </w:r>
          </w:p>
        </w:tc>
        <w:tc>
          <w:tcPr>
            <w:tcW w:w="360" w:type="dxa"/>
            <w:vAlign w:val="bottom"/>
          </w:tcPr>
          <w:p>
            <w:pPr>
              <w:spacing w:after="0"/>
              <w:rPr>
                <w:sz w:val="16"/>
                <w:szCs w:val="16"/>
                <w:color w:val="auto"/>
              </w:rPr>
            </w:pPr>
          </w:p>
        </w:tc>
        <w:tc>
          <w:tcPr>
            <w:tcW w:w="9640" w:type="dxa"/>
            <w:vAlign w:val="bottom"/>
            <w:gridSpan w:val="33"/>
          </w:tcPr>
          <w:p>
            <w:pPr>
              <w:spacing w:after="0" w:line="189" w:lineRule="exact"/>
              <w:rPr>
                <w:rFonts w:ascii="Times New Roman" w:cs="Times New Roman" w:eastAsia="Times New Roman" w:hAnsi="Times New Roman"/>
                <w:sz w:val="19"/>
                <w:szCs w:val="19"/>
                <w:color w:val="0000FF"/>
              </w:rPr>
            </w:pPr>
            <w:hyperlink r:id="rId106">
              <w:r>
                <w:rPr>
                  <w:rFonts w:ascii="Times New Roman" w:cs="Times New Roman" w:eastAsia="Times New Roman" w:hAnsi="Times New Roman"/>
                  <w:sz w:val="19"/>
                  <w:szCs w:val="19"/>
                  <w:color w:val="0000FF"/>
                </w:rPr>
                <w:t>Hagerty, Inc. Executive Severance and Change in Control Plan (incorporated by reference to Exhibit 10.1 of the Company’s</w:t>
              </w:r>
            </w:hyperlink>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440" w:type="dxa"/>
            <w:vAlign w:val="bottom"/>
            <w:tcBorders>
              <w:top w:val="single" w:sz="8" w:color="0000FF"/>
            </w:tcBorders>
            <w:gridSpan w:val="26"/>
          </w:tcPr>
          <w:p>
            <w:pPr>
              <w:spacing w:after="0" w:line="169" w:lineRule="exact"/>
              <w:rPr>
                <w:rFonts w:ascii="Times New Roman" w:cs="Times New Roman" w:eastAsia="Times New Roman" w:hAnsi="Times New Roman"/>
                <w:sz w:val="19"/>
                <w:szCs w:val="19"/>
                <w:color w:val="0000FF"/>
              </w:rPr>
            </w:pPr>
            <w:hyperlink r:id="rId106">
              <w:r>
                <w:rPr>
                  <w:rFonts w:ascii="Times New Roman" w:cs="Times New Roman" w:eastAsia="Times New Roman" w:hAnsi="Times New Roman"/>
                  <w:sz w:val="19"/>
                  <w:szCs w:val="19"/>
                  <w:color w:val="0000FF"/>
                </w:rPr>
                <w:t>Form 8-K (File No. 001-40244), filed with the SEC on July 17, 2026).</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10.2^</w:t>
            </w:r>
          </w:p>
        </w:tc>
        <w:tc>
          <w:tcPr>
            <w:tcW w:w="360" w:type="dxa"/>
            <w:vAlign w:val="bottom"/>
            <w:shd w:val="clear" w:color="auto" w:fill="CCEEFF"/>
          </w:tcPr>
          <w:p>
            <w:pPr>
              <w:spacing w:after="0"/>
              <w:rPr>
                <w:sz w:val="16"/>
                <w:szCs w:val="16"/>
                <w:color w:val="auto"/>
              </w:rPr>
            </w:pPr>
          </w:p>
        </w:tc>
        <w:tc>
          <w:tcPr>
            <w:tcW w:w="9640" w:type="dxa"/>
            <w:vAlign w:val="bottom"/>
            <w:gridSpan w:val="33"/>
            <w:shd w:val="clear" w:color="auto" w:fill="CCEEFF"/>
          </w:tcPr>
          <w:p>
            <w:pPr>
              <w:spacing w:after="0" w:line="189" w:lineRule="exact"/>
              <w:rPr>
                <w:rFonts w:ascii="Times New Roman" w:cs="Times New Roman" w:eastAsia="Times New Roman" w:hAnsi="Times New Roman"/>
                <w:sz w:val="19"/>
                <w:szCs w:val="19"/>
                <w:color w:val="0000FF"/>
              </w:rPr>
            </w:pPr>
            <w:hyperlink r:id="rId107">
              <w:r>
                <w:rPr>
                  <w:rFonts w:ascii="Times New Roman" w:cs="Times New Roman" w:eastAsia="Times New Roman" w:hAnsi="Times New Roman"/>
                  <w:sz w:val="19"/>
                  <w:szCs w:val="19"/>
                  <w:color w:val="0000FF"/>
                </w:rPr>
                <w:t>Form of Executive Severance and Change in Control Plan Participation Agreement (incorporated by reference to Exhibit 10.2</w:t>
              </w:r>
            </w:hyperlink>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6720" w:type="dxa"/>
            <w:vAlign w:val="bottom"/>
            <w:tcBorders>
              <w:top w:val="single" w:sz="8" w:color="0000FF"/>
              <w:bottom w:val="single" w:sz="8" w:color="0000FF"/>
            </w:tcBorders>
            <w:gridSpan w:val="12"/>
            <w:shd w:val="clear" w:color="auto" w:fill="CCEEFF"/>
          </w:tcPr>
          <w:p>
            <w:pPr>
              <w:spacing w:after="0" w:line="169" w:lineRule="exact"/>
              <w:rPr>
                <w:rFonts w:ascii="Times New Roman" w:cs="Times New Roman" w:eastAsia="Times New Roman" w:hAnsi="Times New Roman"/>
                <w:sz w:val="19"/>
                <w:szCs w:val="19"/>
                <w:color w:val="0000FF"/>
                <w:w w:val="99"/>
              </w:rPr>
            </w:pPr>
            <w:hyperlink r:id="rId107">
              <w:r>
                <w:rPr>
                  <w:rFonts w:ascii="Times New Roman" w:cs="Times New Roman" w:eastAsia="Times New Roman" w:hAnsi="Times New Roman"/>
                  <w:sz w:val="19"/>
                  <w:szCs w:val="19"/>
                  <w:color w:val="0000FF"/>
                  <w:w w:val="99"/>
                </w:rPr>
                <w:t>of the Company’s Form 8-K (File No. 001-40244), filed with the SEC on July 17, 2026).</w:t>
              </w:r>
            </w:hyperlink>
          </w:p>
        </w:tc>
        <w:tc>
          <w:tcPr>
            <w:tcW w:w="2800" w:type="dxa"/>
            <w:vAlign w:val="bottom"/>
            <w:tcBorders>
              <w:top w:val="single" w:sz="8" w:color="0000FF"/>
              <w:bottom w:val="single" w:sz="8" w:color="CCEEFF"/>
            </w:tcBorders>
            <w:gridSpan w:val="17"/>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40" w:type="dxa"/>
            <w:vAlign w:val="bottom"/>
            <w:gridSpan w:val="33"/>
          </w:tcPr>
          <w:p>
            <w:pPr>
              <w:spacing w:after="0" w:line="189" w:lineRule="exact"/>
              <w:rPr>
                <w:rFonts w:ascii="Times New Roman" w:cs="Times New Roman" w:eastAsia="Times New Roman" w:hAnsi="Times New Roman"/>
                <w:sz w:val="19"/>
                <w:szCs w:val="19"/>
                <w:color w:val="0000FF"/>
                <w:w w:val="99"/>
              </w:rPr>
            </w:pPr>
            <w:hyperlink r:id="rId108">
              <w:r>
                <w:rPr>
                  <w:rFonts w:ascii="Times New Roman" w:cs="Times New Roman" w:eastAsia="Times New Roman" w:hAnsi="Times New Roman"/>
                  <w:sz w:val="19"/>
                  <w:szCs w:val="19"/>
                  <w:color w:val="0000FF"/>
                  <w:w w:val="99"/>
                </w:rPr>
                <w:t>Employment Agreement, effective as of July 15, 2026, by and between Hagerty, Inc., and its wholly owned subsidiary Hagerty</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10.3+^</w:t>
            </w:r>
          </w:p>
        </w:tc>
        <w:tc>
          <w:tcPr>
            <w:tcW w:w="360" w:type="dxa"/>
            <w:vAlign w:val="bottom"/>
          </w:tcPr>
          <w:p>
            <w:pPr>
              <w:spacing w:after="0"/>
              <w:rPr>
                <w:sz w:val="14"/>
                <w:szCs w:val="14"/>
                <w:color w:val="auto"/>
              </w:rPr>
            </w:pPr>
          </w:p>
        </w:tc>
        <w:tc>
          <w:tcPr>
            <w:tcW w:w="9620" w:type="dxa"/>
            <w:vAlign w:val="bottom"/>
            <w:tcBorders>
              <w:top w:val="single" w:sz="8" w:color="0000FF"/>
            </w:tcBorders>
            <w:gridSpan w:val="32"/>
          </w:tcPr>
          <w:p>
            <w:pPr>
              <w:spacing w:after="0" w:line="169" w:lineRule="exact"/>
              <w:rPr>
                <w:rFonts w:ascii="Times New Roman" w:cs="Times New Roman" w:eastAsia="Times New Roman" w:hAnsi="Times New Roman"/>
                <w:sz w:val="19"/>
                <w:szCs w:val="19"/>
                <w:color w:val="0000FF"/>
              </w:rPr>
            </w:pPr>
            <w:hyperlink r:id="rId108">
              <w:r>
                <w:rPr>
                  <w:rFonts w:ascii="Times New Roman" w:cs="Times New Roman" w:eastAsia="Times New Roman" w:hAnsi="Times New Roman"/>
                  <w:sz w:val="19"/>
                  <w:szCs w:val="19"/>
                  <w:color w:val="0000FF"/>
                </w:rPr>
                <w:t>Management, LLC and Russell Page (incorporated by reference to Exhibit 10.3 of the Company’s Form 8-K (File No. 001-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360" w:type="dxa"/>
            <w:vAlign w:val="bottom"/>
            <w:tcBorders>
              <w:top w:val="single" w:sz="8" w:color="0000FF"/>
            </w:tcBorders>
            <w:gridSpan w:val="22"/>
          </w:tcPr>
          <w:p>
            <w:pPr>
              <w:spacing w:after="0" w:line="169" w:lineRule="exact"/>
              <w:rPr>
                <w:rFonts w:ascii="Times New Roman" w:cs="Times New Roman" w:eastAsia="Times New Roman" w:hAnsi="Times New Roman"/>
                <w:sz w:val="19"/>
                <w:szCs w:val="19"/>
                <w:color w:val="0000FF"/>
              </w:rPr>
            </w:pPr>
            <w:hyperlink r:id="rId108">
              <w:r>
                <w:rPr>
                  <w:rFonts w:ascii="Times New Roman" w:cs="Times New Roman" w:eastAsia="Times New Roman" w:hAnsi="Times New Roman"/>
                  <w:sz w:val="19"/>
                  <w:szCs w:val="19"/>
                  <w:color w:val="0000FF"/>
                </w:rPr>
                <w:t>40244)</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FF"/>
                </w:rPr>
                <w:t xml:space="preserve"> filed with the SEC on July 17, 2026).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40" w:type="dxa"/>
            <w:vAlign w:val="bottom"/>
            <w:gridSpan w:val="33"/>
            <w:shd w:val="clear" w:color="auto" w:fill="CCEEFF"/>
          </w:tcPr>
          <w:p>
            <w:pPr>
              <w:spacing w:after="0" w:line="189" w:lineRule="exact"/>
              <w:rPr>
                <w:rFonts w:ascii="Times New Roman" w:cs="Times New Roman" w:eastAsia="Times New Roman" w:hAnsi="Times New Roman"/>
                <w:sz w:val="19"/>
                <w:szCs w:val="19"/>
                <w:color w:val="0000FF"/>
              </w:rPr>
            </w:pPr>
            <w:hyperlink r:id="rId109">
              <w:r>
                <w:rPr>
                  <w:rFonts w:ascii="Times New Roman" w:cs="Times New Roman" w:eastAsia="Times New Roman" w:hAnsi="Times New Roman"/>
                  <w:sz w:val="19"/>
                  <w:szCs w:val="19"/>
                  <w:color w:val="0000FF"/>
                </w:rPr>
                <w:t>Amended and Restated Employment Agreement, effective as of July 15, 2026, by and between Hagerty, Inc., and its wholly</w:t>
              </w:r>
            </w:hyperlink>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10.4+^</w:t>
            </w:r>
          </w:p>
        </w:tc>
        <w:tc>
          <w:tcPr>
            <w:tcW w:w="36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9"/>
                <w:szCs w:val="19"/>
                <w:color w:val="0000FF"/>
              </w:rPr>
            </w:pPr>
            <w:hyperlink r:id="rId109">
              <w:r>
                <w:rPr>
                  <w:rFonts w:ascii="Times New Roman" w:cs="Times New Roman" w:eastAsia="Times New Roman" w:hAnsi="Times New Roman"/>
                  <w:sz w:val="19"/>
                  <w:szCs w:val="19"/>
                  <w:color w:val="0000FF"/>
                </w:rPr>
                <w:t>owned subsidiary Hagerty Management, LLC and McKeel Hagerty (incorporated by reference to Exhibit 10.4 of the</w:t>
              </w:r>
            </w:hyperlink>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6240" w:type="dxa"/>
            <w:vAlign w:val="bottom"/>
            <w:tcBorders>
              <w:top w:val="single" w:sz="8" w:color="0000FF"/>
              <w:bottom w:val="single" w:sz="8" w:color="0000FF"/>
            </w:tcBorders>
            <w:gridSpan w:val="10"/>
            <w:shd w:val="clear" w:color="auto" w:fill="CCEEFF"/>
          </w:tcPr>
          <w:p>
            <w:pPr>
              <w:spacing w:after="0" w:line="169" w:lineRule="exact"/>
              <w:rPr>
                <w:rFonts w:ascii="Times New Roman" w:cs="Times New Roman" w:eastAsia="Times New Roman" w:hAnsi="Times New Roman"/>
                <w:sz w:val="19"/>
                <w:szCs w:val="19"/>
                <w:color w:val="0000FF"/>
                <w:w w:val="99"/>
              </w:rPr>
            </w:pPr>
            <w:hyperlink r:id="rId109">
              <w:r>
                <w:rPr>
                  <w:rFonts w:ascii="Times New Roman" w:cs="Times New Roman" w:eastAsia="Times New Roman" w:hAnsi="Times New Roman"/>
                  <w:sz w:val="19"/>
                  <w:szCs w:val="19"/>
                  <w:color w:val="0000FF"/>
                  <w:w w:val="99"/>
                </w:rPr>
                <w:t>Company’s Form 8-K (File No. 001-40244), filed with the SEC on July 17, 2026).</w:t>
              </w:r>
            </w:hyperlink>
          </w:p>
        </w:tc>
        <w:tc>
          <w:tcPr>
            <w:tcW w:w="2580" w:type="dxa"/>
            <w:vAlign w:val="bottom"/>
            <w:tcBorders>
              <w:top w:val="single" w:sz="8" w:color="0000FF"/>
              <w:bottom w:val="single" w:sz="8" w:color="CCEEFF"/>
            </w:tcBorders>
            <w:gridSpan w:val="5"/>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40" w:type="dxa"/>
            <w:vAlign w:val="bottom"/>
            <w:gridSpan w:val="33"/>
          </w:tcPr>
          <w:p>
            <w:pPr>
              <w:spacing w:after="0" w:line="189" w:lineRule="exact"/>
              <w:rPr>
                <w:rFonts w:ascii="Times New Roman" w:cs="Times New Roman" w:eastAsia="Times New Roman" w:hAnsi="Times New Roman"/>
                <w:sz w:val="19"/>
                <w:szCs w:val="19"/>
                <w:color w:val="0000FF"/>
              </w:rPr>
            </w:pPr>
            <w:hyperlink r:id="rId110">
              <w:r>
                <w:rPr>
                  <w:rFonts w:ascii="Times New Roman" w:cs="Times New Roman" w:eastAsia="Times New Roman" w:hAnsi="Times New Roman"/>
                  <w:sz w:val="19"/>
                  <w:szCs w:val="19"/>
                  <w:color w:val="0000FF"/>
                </w:rPr>
                <w:t>Amended and Restated Employment Agreement, effective as of July 15, 2026, by and between Hagerty, Inc., and its wholly</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10.5+^</w:t>
            </w:r>
          </w:p>
        </w:tc>
        <w:tc>
          <w:tcPr>
            <w:tcW w:w="360" w:type="dxa"/>
            <w:vAlign w:val="bottom"/>
          </w:tcPr>
          <w:p>
            <w:pPr>
              <w:spacing w:after="0"/>
              <w:rPr>
                <w:sz w:val="14"/>
                <w:szCs w:val="14"/>
                <w:color w:val="auto"/>
              </w:rPr>
            </w:pPr>
          </w:p>
        </w:tc>
        <w:tc>
          <w:tcPr>
            <w:tcW w:w="9400" w:type="dxa"/>
            <w:vAlign w:val="bottom"/>
            <w:tcBorders>
              <w:top w:val="single" w:sz="8" w:color="0000FF"/>
            </w:tcBorders>
            <w:gridSpan w:val="24"/>
          </w:tcPr>
          <w:p>
            <w:pPr>
              <w:spacing w:after="0" w:line="169" w:lineRule="exact"/>
              <w:rPr>
                <w:rFonts w:ascii="Times New Roman" w:cs="Times New Roman" w:eastAsia="Times New Roman" w:hAnsi="Times New Roman"/>
                <w:sz w:val="19"/>
                <w:szCs w:val="19"/>
                <w:color w:val="0000FF"/>
              </w:rPr>
            </w:pPr>
            <w:hyperlink r:id="rId110">
              <w:r>
                <w:rPr>
                  <w:rFonts w:ascii="Times New Roman" w:cs="Times New Roman" w:eastAsia="Times New Roman" w:hAnsi="Times New Roman"/>
                  <w:sz w:val="19"/>
                  <w:szCs w:val="19"/>
                  <w:color w:val="0000FF"/>
                </w:rPr>
                <w:t>owned subsidiary Hagerty Management, LLC and Patrick McClymont (incorporated by reference to Exhibit 10.5 of the</w:t>
              </w:r>
            </w:hyperlink>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40" w:type="dxa"/>
            <w:vAlign w:val="bottom"/>
            <w:tcBorders>
              <w:top w:val="single" w:sz="8" w:color="0000FF"/>
            </w:tcBorders>
            <w:gridSpan w:val="16"/>
          </w:tcPr>
          <w:p>
            <w:pPr>
              <w:spacing w:after="0" w:line="169" w:lineRule="exact"/>
              <w:rPr>
                <w:rFonts w:ascii="Times New Roman" w:cs="Times New Roman" w:eastAsia="Times New Roman" w:hAnsi="Times New Roman"/>
                <w:sz w:val="19"/>
                <w:szCs w:val="19"/>
                <w:color w:val="0000FF"/>
              </w:rPr>
            </w:pPr>
            <w:hyperlink r:id="rId110">
              <w:r>
                <w:rPr>
                  <w:rFonts w:ascii="Times New Roman" w:cs="Times New Roman" w:eastAsia="Times New Roman" w:hAnsi="Times New Roman"/>
                  <w:sz w:val="19"/>
                  <w:szCs w:val="19"/>
                  <w:color w:val="0000FF"/>
                </w:rPr>
                <w:t>Company’s Form 8-K (File No. 001-40244), filed with the SEC on July 17, 2026).</w:t>
              </w:r>
            </w:hyperlink>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40" w:type="dxa"/>
            <w:vAlign w:val="bottom"/>
            <w:gridSpan w:val="33"/>
            <w:shd w:val="clear" w:color="auto" w:fill="CCEEFF"/>
          </w:tcPr>
          <w:p>
            <w:pPr>
              <w:spacing w:after="0" w:line="189" w:lineRule="exact"/>
              <w:rPr>
                <w:rFonts w:ascii="Times New Roman" w:cs="Times New Roman" w:eastAsia="Times New Roman" w:hAnsi="Times New Roman"/>
                <w:sz w:val="19"/>
                <w:szCs w:val="19"/>
                <w:color w:val="0000FF"/>
              </w:rPr>
            </w:pPr>
            <w:hyperlink r:id="rId111">
              <w:r>
                <w:rPr>
                  <w:rFonts w:ascii="Times New Roman" w:cs="Times New Roman" w:eastAsia="Times New Roman" w:hAnsi="Times New Roman"/>
                  <w:sz w:val="19"/>
                  <w:szCs w:val="19"/>
                  <w:color w:val="0000FF"/>
                </w:rPr>
                <w:t>Amended and Restated Employment Agreement, effective as of July 15, 2026, by and between Hagerty, Inc., and its wholly</w:t>
              </w:r>
            </w:hyperlink>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10.6+^</w:t>
            </w:r>
          </w:p>
        </w:tc>
        <w:tc>
          <w:tcPr>
            <w:tcW w:w="36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9"/>
                <w:szCs w:val="19"/>
                <w:color w:val="0000FF"/>
              </w:rPr>
            </w:pPr>
            <w:hyperlink r:id="rId111">
              <w:r>
                <w:rPr>
                  <w:rFonts w:ascii="Times New Roman" w:cs="Times New Roman" w:eastAsia="Times New Roman" w:hAnsi="Times New Roman"/>
                  <w:sz w:val="19"/>
                  <w:szCs w:val="19"/>
                  <w:color w:val="0000FF"/>
                </w:rPr>
                <w:t>owned subsidiary Broad Arrow Group, Inc. and Kenneth Ahn (incorporated by reference to Exhibit 10.6 of the Company’s</w:t>
              </w:r>
            </w:hyperlink>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vMerge w:val="continue"/>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300" w:type="dxa"/>
            <w:vAlign w:val="bottom"/>
            <w:tcBorders>
              <w:top w:val="single" w:sz="8" w:color="0000FF"/>
            </w:tcBorders>
            <w:gridSpan w:val="19"/>
            <w:shd w:val="clear" w:color="auto" w:fill="CCEEFF"/>
          </w:tcPr>
          <w:p>
            <w:pPr>
              <w:spacing w:after="0" w:line="169" w:lineRule="exact"/>
              <w:rPr>
                <w:rFonts w:ascii="Times New Roman" w:cs="Times New Roman" w:eastAsia="Times New Roman" w:hAnsi="Times New Roman"/>
                <w:sz w:val="19"/>
                <w:szCs w:val="19"/>
                <w:color w:val="0000FF"/>
              </w:rPr>
            </w:pPr>
            <w:hyperlink r:id="rId111">
              <w:r>
                <w:rPr>
                  <w:rFonts w:ascii="Times New Roman" w:cs="Times New Roman" w:eastAsia="Times New Roman" w:hAnsi="Times New Roman"/>
                  <w:sz w:val="19"/>
                  <w:szCs w:val="19"/>
                  <w:color w:val="0000FF"/>
                </w:rPr>
                <w:t>Form 8-K (File No. 001-40244), filed with the SEC on July 17, 2026).</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40" w:type="dxa"/>
            <w:vAlign w:val="bottom"/>
            <w:gridSpan w:val="33"/>
          </w:tcPr>
          <w:p>
            <w:pPr>
              <w:spacing w:after="0" w:line="189" w:lineRule="exact"/>
              <w:rPr>
                <w:rFonts w:ascii="Times New Roman" w:cs="Times New Roman" w:eastAsia="Times New Roman" w:hAnsi="Times New Roman"/>
                <w:sz w:val="19"/>
                <w:szCs w:val="19"/>
                <w:color w:val="0000FF"/>
              </w:rPr>
            </w:pPr>
            <w:hyperlink r:id="rId112">
              <w:r>
                <w:rPr>
                  <w:rFonts w:ascii="Times New Roman" w:cs="Times New Roman" w:eastAsia="Times New Roman" w:hAnsi="Times New Roman"/>
                  <w:sz w:val="19"/>
                  <w:szCs w:val="19"/>
                  <w:color w:val="0000FF"/>
                </w:rPr>
                <w:t>Amended and Restated Employment Agreement, effective as of July 15, 2026, by and between Hagerty, Inc., and its wholly</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10.7+^</w:t>
            </w:r>
          </w:p>
        </w:tc>
        <w:tc>
          <w:tcPr>
            <w:tcW w:w="360" w:type="dxa"/>
            <w:vAlign w:val="bottom"/>
          </w:tcPr>
          <w:p>
            <w:pPr>
              <w:spacing w:after="0"/>
              <w:rPr>
                <w:sz w:val="14"/>
                <w:szCs w:val="14"/>
                <w:color w:val="auto"/>
              </w:rPr>
            </w:pPr>
          </w:p>
        </w:tc>
        <w:tc>
          <w:tcPr>
            <w:tcW w:w="942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9"/>
                <w:szCs w:val="19"/>
                <w:color w:val="0000FF"/>
                <w:w w:val="97"/>
              </w:rPr>
            </w:pPr>
            <w:hyperlink r:id="rId112">
              <w:r>
                <w:rPr>
                  <w:rFonts w:ascii="Times New Roman" w:cs="Times New Roman" w:eastAsia="Times New Roman" w:hAnsi="Times New Roman"/>
                  <w:sz w:val="19"/>
                  <w:szCs w:val="19"/>
                  <w:color w:val="0000FF"/>
                  <w:w w:val="97"/>
                </w:rPr>
                <w:t>owned subsidiary Hagerty Management, LLC and Jeffrey Briglia (incorporated by reference to Exhibit 10.7 of the Company’s</w:t>
              </w:r>
            </w:hyperlink>
          </w:p>
        </w:tc>
        <w:tc>
          <w:tcPr>
            <w:tcW w:w="120" w:type="dxa"/>
            <w:vAlign w:val="bottom"/>
            <w:tcBorders>
              <w:bottom w:val="single" w:sz="8" w:color="0000FF"/>
            </w:tcBorders>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540" w:type="dxa"/>
            <w:vAlign w:val="bottom"/>
            <w:gridSpan w:val="30"/>
          </w:tcPr>
          <w:p>
            <w:pPr>
              <w:spacing w:after="0" w:line="169" w:lineRule="exact"/>
              <w:rPr>
                <w:rFonts w:ascii="Times New Roman" w:cs="Times New Roman" w:eastAsia="Times New Roman" w:hAnsi="Times New Roman"/>
                <w:sz w:val="19"/>
                <w:szCs w:val="19"/>
                <w:color w:val="0000FF"/>
              </w:rPr>
            </w:pPr>
            <w:hyperlink r:id="rId112">
              <w:r>
                <w:rPr>
                  <w:rFonts w:ascii="Times New Roman" w:cs="Times New Roman" w:eastAsia="Times New Roman" w:hAnsi="Times New Roman"/>
                  <w:sz w:val="19"/>
                  <w:szCs w:val="19"/>
                  <w:color w:val="0000FF"/>
                </w:rPr>
                <w:t>Form 8-K (File No. 001-40244), filed with the SEC on July 17, 2026).</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4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9"/>
                <w:szCs w:val="19"/>
                <w:color w:val="0000FF"/>
              </w:rPr>
              <w:t>First Amendment to Credit Agreement, dated as of October 29, 2026, by and among The Hagerty Group, LLC, the Foreign</w:t>
            </w:r>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10.8*</w:t>
            </w:r>
          </w:p>
        </w:tc>
        <w:tc>
          <w:tcPr>
            <w:tcW w:w="360" w:type="dxa"/>
            <w:vAlign w:val="bottom"/>
            <w:tcBorders>
              <w:top w:val="single" w:sz="8" w:color="CCEEFF"/>
            </w:tcBorders>
            <w:shd w:val="clear" w:color="auto" w:fill="CCEEFF"/>
          </w:tcPr>
          <w:p>
            <w:pPr>
              <w:spacing w:after="0"/>
              <w:rPr>
                <w:sz w:val="14"/>
                <w:szCs w:val="14"/>
                <w:color w:val="auto"/>
              </w:rPr>
            </w:pPr>
          </w:p>
        </w:tc>
        <w:tc>
          <w:tcPr>
            <w:tcW w:w="9340" w:type="dxa"/>
            <w:vAlign w:val="bottom"/>
            <w:tcBorders>
              <w:top w:val="single" w:sz="8" w:color="0000FF"/>
            </w:tcBorders>
            <w:gridSpan w:val="21"/>
            <w:shd w:val="clear" w:color="auto" w:fill="CCEEFF"/>
          </w:tcPr>
          <w:p>
            <w:pPr>
              <w:spacing w:after="0" w:line="169" w:lineRule="exact"/>
              <w:rPr>
                <w:sz w:val="20"/>
                <w:szCs w:val="20"/>
                <w:color w:val="auto"/>
              </w:rPr>
            </w:pPr>
            <w:r>
              <w:rPr>
                <w:rFonts w:ascii="Times New Roman" w:cs="Times New Roman" w:eastAsia="Times New Roman" w:hAnsi="Times New Roman"/>
                <w:sz w:val="19"/>
                <w:szCs w:val="19"/>
                <w:color w:val="0000FF"/>
              </w:rPr>
              <w:t>Subsidiary Borrowers party thereto, the Lenders party thereto, and JPMorgan Chase Bank, N.A., a national banking</w:t>
            </w:r>
          </w:p>
        </w:tc>
        <w:tc>
          <w:tcPr>
            <w:tcW w:w="300" w:type="dxa"/>
            <w:vAlign w:val="bottom"/>
            <w:tcBorders>
              <w:top w:val="single" w:sz="8" w:color="CCEEFF"/>
            </w:tcBorders>
            <w:gridSpan w:val="1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tcBorders>
            <w:vMerge w:val="continue"/>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740" w:type="dxa"/>
            <w:vAlign w:val="bottom"/>
            <w:tcBorders>
              <w:top w:val="single" w:sz="8" w:color="0000FF"/>
            </w:tcBorders>
            <w:gridSpan w:val="14"/>
            <w:shd w:val="clear" w:color="auto" w:fill="CCEEFF"/>
          </w:tcPr>
          <w:p>
            <w:pPr>
              <w:spacing w:after="0" w:line="169" w:lineRule="exact"/>
              <w:rPr>
                <w:sz w:val="20"/>
                <w:szCs w:val="20"/>
                <w:color w:val="auto"/>
              </w:rPr>
            </w:pPr>
            <w:r>
              <w:rPr>
                <w:rFonts w:ascii="Times New Roman" w:cs="Times New Roman" w:eastAsia="Times New Roman" w:hAnsi="Times New Roman"/>
                <w:sz w:val="19"/>
                <w:szCs w:val="19"/>
                <w:color w:val="0000FF"/>
              </w:rPr>
              <w:t>association, as administrative agent for the Lenders party to the Credit Agreement, filed herewith.</w:t>
            </w:r>
          </w:p>
        </w:tc>
        <w:tc>
          <w:tcPr>
            <w:tcW w:w="900" w:type="dxa"/>
            <w:vAlign w:val="bottom"/>
            <w:tcBorders>
              <w:top w:val="single" w:sz="8" w:color="CCEEFF"/>
            </w:tcBorders>
            <w:gridSpan w:val="1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Borders>
              <w:top w:val="single" w:sz="8" w:color="CCEEFF"/>
            </w:tcBorders>
          </w:tcPr>
          <w:p>
            <w:pPr>
              <w:ind w:left="180"/>
              <w:spacing w:after="0" w:line="189" w:lineRule="exact"/>
              <w:rPr>
                <w:sz w:val="20"/>
                <w:szCs w:val="20"/>
                <w:color w:val="auto"/>
              </w:rPr>
            </w:pPr>
            <w:r>
              <w:rPr>
                <w:rFonts w:ascii="Times New Roman" w:cs="Times New Roman" w:eastAsia="Times New Roman" w:hAnsi="Times New Roman"/>
                <w:sz w:val="19"/>
                <w:szCs w:val="19"/>
                <w:color w:val="auto"/>
              </w:rPr>
              <w:t>31.1</w:t>
            </w:r>
          </w:p>
        </w:tc>
        <w:tc>
          <w:tcPr>
            <w:tcW w:w="360" w:type="dxa"/>
            <w:vAlign w:val="bottom"/>
            <w:tcBorders>
              <w:top w:val="single" w:sz="8" w:color="CCEEFF"/>
            </w:tcBorders>
          </w:tcPr>
          <w:p>
            <w:pPr>
              <w:spacing w:after="0"/>
              <w:rPr>
                <w:sz w:val="16"/>
                <w:szCs w:val="16"/>
                <w:color w:val="auto"/>
              </w:rPr>
            </w:pPr>
          </w:p>
        </w:tc>
        <w:tc>
          <w:tcPr>
            <w:tcW w:w="7380" w:type="dxa"/>
            <w:vAlign w:val="bottom"/>
            <w:tcBorders>
              <w:top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9"/>
                <w:szCs w:val="19"/>
                <w:color w:val="0000FF"/>
              </w:rPr>
              <w:t>Certification of the Chief Executive Officer Pursuant to Rule 13a-14(a).</w:t>
            </w:r>
          </w:p>
        </w:tc>
        <w:tc>
          <w:tcPr>
            <w:tcW w:w="2260" w:type="dxa"/>
            <w:vAlign w:val="bottom"/>
            <w:tcBorders>
              <w:top w:val="single" w:sz="8" w:color="CCEEFF"/>
            </w:tcBorders>
            <w:gridSpan w:val="20"/>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9"/>
                <w:szCs w:val="19"/>
                <w:color w:val="auto"/>
              </w:rPr>
              <w:t>31.2</w:t>
            </w:r>
          </w:p>
        </w:tc>
        <w:tc>
          <w:tcPr>
            <w:tcW w:w="360" w:type="dxa"/>
            <w:vAlign w:val="bottom"/>
            <w:shd w:val="clear" w:color="auto" w:fill="CCEEFF"/>
          </w:tcPr>
          <w:p>
            <w:pPr>
              <w:spacing w:after="0"/>
              <w:rPr>
                <w:sz w:val="16"/>
                <w:szCs w:val="16"/>
                <w:color w:val="auto"/>
              </w:rPr>
            </w:pPr>
          </w:p>
        </w:tc>
        <w:tc>
          <w:tcPr>
            <w:tcW w:w="964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9"/>
                <w:szCs w:val="19"/>
                <w:color w:val="0000FF"/>
              </w:rPr>
              <w:t>Certification of the Chief Financial Officer Pursuant to Rule 13a-14(a).</w:t>
            </w: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tcPr>
          <w:p>
            <w:pPr>
              <w:ind w:left="180"/>
              <w:spacing w:after="0" w:line="189" w:lineRule="exact"/>
              <w:rPr>
                <w:sz w:val="20"/>
                <w:szCs w:val="20"/>
                <w:color w:val="auto"/>
              </w:rPr>
            </w:pPr>
            <w:r>
              <w:rPr>
                <w:rFonts w:ascii="Times New Roman" w:cs="Times New Roman" w:eastAsia="Times New Roman" w:hAnsi="Times New Roman"/>
                <w:sz w:val="19"/>
                <w:szCs w:val="19"/>
                <w:color w:val="auto"/>
              </w:rPr>
              <w:t>32.1#</w:t>
            </w:r>
          </w:p>
        </w:tc>
        <w:tc>
          <w:tcPr>
            <w:tcW w:w="360" w:type="dxa"/>
            <w:vAlign w:val="bottom"/>
          </w:tcPr>
          <w:p>
            <w:pPr>
              <w:spacing w:after="0"/>
              <w:rPr>
                <w:sz w:val="16"/>
                <w:szCs w:val="16"/>
                <w:color w:val="auto"/>
              </w:rPr>
            </w:pPr>
          </w:p>
        </w:tc>
        <w:tc>
          <w:tcPr>
            <w:tcW w:w="9640" w:type="dxa"/>
            <w:vAlign w:val="bottom"/>
            <w:gridSpan w:val="33"/>
          </w:tcPr>
          <w:p>
            <w:pPr>
              <w:spacing w:after="0" w:line="189" w:lineRule="exact"/>
              <w:rPr>
                <w:sz w:val="20"/>
                <w:szCs w:val="20"/>
                <w:color w:val="auto"/>
              </w:rPr>
            </w:pPr>
            <w:r>
              <w:rPr>
                <w:rFonts w:ascii="Times New Roman" w:cs="Times New Roman" w:eastAsia="Times New Roman" w:hAnsi="Times New Roman"/>
                <w:sz w:val="19"/>
                <w:szCs w:val="19"/>
                <w:color w:val="0000FF"/>
              </w:rPr>
              <w:t>Certification of the Chief Executive Officer Pursuant to 18 U.S.C. Section 1350.</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9"/>
                <w:szCs w:val="19"/>
                <w:color w:val="auto"/>
              </w:rPr>
              <w:t>32.2#</w:t>
            </w:r>
          </w:p>
        </w:tc>
        <w:tc>
          <w:tcPr>
            <w:tcW w:w="360" w:type="dxa"/>
            <w:vAlign w:val="bottom"/>
            <w:shd w:val="clear" w:color="auto" w:fill="CCEEFF"/>
          </w:tcPr>
          <w:p>
            <w:pPr>
              <w:spacing w:after="0"/>
              <w:rPr>
                <w:sz w:val="19"/>
                <w:szCs w:val="19"/>
                <w:color w:val="auto"/>
              </w:rPr>
            </w:pPr>
          </w:p>
        </w:tc>
        <w:tc>
          <w:tcPr>
            <w:tcW w:w="964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9"/>
                <w:szCs w:val="19"/>
                <w:color w:val="0000FF"/>
              </w:rPr>
              <w:t>Certification of the Chief Financial Officer Pursuant to 18 U.S.C. Section 1350.</w:t>
            </w:r>
          </w:p>
        </w:tc>
        <w:tc>
          <w:tcPr>
            <w:tcW w:w="0" w:type="dxa"/>
            <w:vAlign w:val="bottom"/>
          </w:tcPr>
          <w:p>
            <w:pPr>
              <w:spacing w:after="0"/>
              <w:rPr>
                <w:sz w:val="1"/>
                <w:szCs w:val="1"/>
                <w:color w:val="auto"/>
              </w:rPr>
            </w:pPr>
          </w:p>
        </w:tc>
      </w:tr>
      <w:tr>
        <w:trPr>
          <w:trHeight w:val="243"/>
        </w:trPr>
        <w:tc>
          <w:tcPr>
            <w:tcW w:w="12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9"/>
                <w:szCs w:val="19"/>
                <w:color w:val="auto"/>
              </w:rPr>
              <w:t>101.INS</w:t>
            </w:r>
          </w:p>
        </w:tc>
        <w:tc>
          <w:tcPr>
            <w:tcW w:w="360" w:type="dxa"/>
            <w:vAlign w:val="bottom"/>
            <w:tcBorders>
              <w:top w:val="single" w:sz="8" w:color="CCEEFF"/>
            </w:tcBorders>
          </w:tcPr>
          <w:p>
            <w:pPr>
              <w:spacing w:after="0"/>
              <w:rPr>
                <w:sz w:val="21"/>
                <w:szCs w:val="21"/>
                <w:color w:val="auto"/>
              </w:rPr>
            </w:pPr>
          </w:p>
        </w:tc>
        <w:tc>
          <w:tcPr>
            <w:tcW w:w="6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auto"/>
              </w:rPr>
              <w:t>XBRL Instance Document.</w:t>
            </w:r>
          </w:p>
        </w:tc>
        <w:tc>
          <w:tcPr>
            <w:tcW w:w="3620" w:type="dxa"/>
            <w:vAlign w:val="bottom"/>
            <w:tcBorders>
              <w:top w:val="single" w:sz="8" w:color="CCEEFF"/>
            </w:tcBorders>
            <w:gridSpan w:val="2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101.SCH</w:t>
            </w:r>
          </w:p>
        </w:tc>
        <w:tc>
          <w:tcPr>
            <w:tcW w:w="360" w:type="dxa"/>
            <w:vAlign w:val="bottom"/>
            <w:shd w:val="clear" w:color="auto" w:fill="CCEEFF"/>
          </w:tcPr>
          <w:p>
            <w:pPr>
              <w:spacing w:after="0"/>
              <w:rPr>
                <w:sz w:val="21"/>
                <w:szCs w:val="21"/>
                <w:color w:val="auto"/>
              </w:rPr>
            </w:pPr>
          </w:p>
        </w:tc>
        <w:tc>
          <w:tcPr>
            <w:tcW w:w="9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9"/>
                <w:szCs w:val="19"/>
                <w:color w:val="auto"/>
              </w:rPr>
              <w:t>XBRL Taxonomy Extension Schema Document.</w:t>
            </w:r>
          </w:p>
        </w:tc>
        <w:tc>
          <w:tcPr>
            <w:tcW w:w="0" w:type="dxa"/>
            <w:vAlign w:val="bottom"/>
          </w:tcPr>
          <w:p>
            <w:pPr>
              <w:spacing w:after="0"/>
              <w:rPr>
                <w:sz w:val="1"/>
                <w:szCs w:val="1"/>
                <w:color w:val="auto"/>
              </w:rPr>
            </w:pPr>
          </w:p>
        </w:tc>
      </w:tr>
      <w:tr>
        <w:trPr>
          <w:trHeight w:val="243"/>
        </w:trPr>
        <w:tc>
          <w:tcPr>
            <w:tcW w:w="12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101.CAL</w:t>
            </w:r>
          </w:p>
        </w:tc>
        <w:tc>
          <w:tcPr>
            <w:tcW w:w="360" w:type="dxa"/>
            <w:vAlign w:val="bottom"/>
          </w:tcPr>
          <w:p>
            <w:pPr>
              <w:spacing w:after="0"/>
              <w:rPr>
                <w:sz w:val="21"/>
                <w:szCs w:val="21"/>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9"/>
                <w:szCs w:val="19"/>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101.LAB</w:t>
            </w:r>
          </w:p>
        </w:tc>
        <w:tc>
          <w:tcPr>
            <w:tcW w:w="360" w:type="dxa"/>
            <w:vAlign w:val="bottom"/>
            <w:shd w:val="clear" w:color="auto" w:fill="CCEEFF"/>
          </w:tcPr>
          <w:p>
            <w:pPr>
              <w:spacing w:after="0"/>
              <w:rPr>
                <w:sz w:val="21"/>
                <w:szCs w:val="21"/>
                <w:color w:val="auto"/>
              </w:rPr>
            </w:pPr>
          </w:p>
        </w:tc>
        <w:tc>
          <w:tcPr>
            <w:tcW w:w="9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9"/>
                <w:szCs w:val="19"/>
                <w:color w:val="auto"/>
              </w:rPr>
              <w:t>XBRL Taxonomy Extension Label Linkbase Document.</w:t>
            </w:r>
          </w:p>
        </w:tc>
        <w:tc>
          <w:tcPr>
            <w:tcW w:w="0" w:type="dxa"/>
            <w:vAlign w:val="bottom"/>
          </w:tcPr>
          <w:p>
            <w:pPr>
              <w:spacing w:after="0"/>
              <w:rPr>
                <w:sz w:val="1"/>
                <w:szCs w:val="1"/>
                <w:color w:val="auto"/>
              </w:rPr>
            </w:pPr>
          </w:p>
        </w:tc>
      </w:tr>
      <w:tr>
        <w:trPr>
          <w:trHeight w:val="243"/>
        </w:trPr>
        <w:tc>
          <w:tcPr>
            <w:tcW w:w="12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101.PRE</w:t>
            </w:r>
          </w:p>
        </w:tc>
        <w:tc>
          <w:tcPr>
            <w:tcW w:w="360" w:type="dxa"/>
            <w:vAlign w:val="bottom"/>
          </w:tcPr>
          <w:p>
            <w:pPr>
              <w:spacing w:after="0"/>
              <w:rPr>
                <w:sz w:val="21"/>
                <w:szCs w:val="21"/>
                <w:color w:val="auto"/>
              </w:rPr>
            </w:pPr>
          </w:p>
        </w:tc>
        <w:tc>
          <w:tcPr>
            <w:tcW w:w="9640" w:type="dxa"/>
            <w:vAlign w:val="bottom"/>
            <w:gridSpan w:val="33"/>
          </w:tcPr>
          <w:p>
            <w:pPr>
              <w:spacing w:after="0"/>
              <w:rPr>
                <w:sz w:val="20"/>
                <w:szCs w:val="20"/>
                <w:color w:val="auto"/>
              </w:rPr>
            </w:pPr>
            <w:r>
              <w:rPr>
                <w:rFonts w:ascii="Times New Roman" w:cs="Times New Roman" w:eastAsia="Times New Roman" w:hAnsi="Times New Roman"/>
                <w:sz w:val="19"/>
                <w:szCs w:val="19"/>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101.DEF</w:t>
            </w:r>
          </w:p>
        </w:tc>
        <w:tc>
          <w:tcPr>
            <w:tcW w:w="360" w:type="dxa"/>
            <w:vAlign w:val="bottom"/>
            <w:shd w:val="clear" w:color="auto" w:fill="CCEEFF"/>
          </w:tcPr>
          <w:p>
            <w:pPr>
              <w:spacing w:after="0"/>
              <w:rPr>
                <w:sz w:val="21"/>
                <w:szCs w:val="21"/>
                <w:color w:val="auto"/>
              </w:rPr>
            </w:pPr>
          </w:p>
        </w:tc>
        <w:tc>
          <w:tcPr>
            <w:tcW w:w="9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9"/>
                <w:szCs w:val="19"/>
                <w:color w:val="auto"/>
              </w:rPr>
              <w:t>XBRL Taxonomy Extension Definition Linkbase Document.</w:t>
            </w:r>
          </w:p>
        </w:tc>
        <w:tc>
          <w:tcPr>
            <w:tcW w:w="0" w:type="dxa"/>
            <w:vAlign w:val="bottom"/>
          </w:tcPr>
          <w:p>
            <w:pPr>
              <w:spacing w:after="0"/>
              <w:rPr>
                <w:sz w:val="1"/>
                <w:szCs w:val="1"/>
                <w:color w:val="auto"/>
              </w:rPr>
            </w:pPr>
          </w:p>
        </w:tc>
      </w:tr>
    </w:tbl>
    <w:p>
      <w:pPr>
        <w:ind w:left="1620" w:hanging="1432"/>
        <w:spacing w:after="0"/>
        <w:tabs>
          <w:tab w:leader="none" w:pos="16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71" w:lineRule="exact"/>
        <w:rPr>
          <w:rFonts w:ascii="Times New Roman" w:cs="Times New Roman" w:eastAsia="Times New Roman" w:hAnsi="Times New Roman"/>
          <w:sz w:val="19"/>
          <w:szCs w:val="19"/>
          <w:color w:val="auto"/>
        </w:rPr>
      </w:pPr>
    </w:p>
    <w:p>
      <w:pPr>
        <w:ind w:left="5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360" w:hanging="280"/>
        <w:spacing w:after="0" w:line="222"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schedules and exhibits to this agreement have been omitted pursuant to Item 601(a)(5) of Regulation S-K. A copy of any omitted schedule and/or exhibit will be furnished to the SEC upon request. In addition, portions of this exhibit have been redacted pursuant to Item 601(b)(10)(iv) of Regulation S-K because the registrant customarily and actually treats that information as private or confidential and the omitted information is not material.</w:t>
      </w:r>
    </w:p>
    <w:p>
      <w:pPr>
        <w:spacing w:after="0" w:line="1" w:lineRule="exact"/>
        <w:rPr>
          <w:sz w:val="20"/>
          <w:szCs w:val="20"/>
          <w:color w:val="auto"/>
        </w:rPr>
      </w:pPr>
    </w:p>
    <w:p>
      <w:pPr>
        <w:ind w:left="360" w:right="80" w:hanging="286"/>
        <w:spacing w:after="0" w:line="239"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80"/>
        <w:spacing w:after="0"/>
        <w:tabs>
          <w:tab w:leader="none" w:pos="3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Denotes compensatory plans or arrangements or management contracts.</w:t>
      </w:r>
    </w:p>
    <w:p>
      <w:pPr>
        <w:spacing w:after="0" w:line="13" w:lineRule="exact"/>
        <w:rPr>
          <w:sz w:val="20"/>
          <w:szCs w:val="20"/>
          <w:color w:val="auto"/>
        </w:rPr>
      </w:pPr>
    </w:p>
    <w:p>
      <w:pPr>
        <w:ind w:left="360" w:right="340" w:hanging="280"/>
        <w:spacing w:after="0" w:line="239" w:lineRule="auto"/>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not deemed filed for the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38" w:right="57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on November 3, 2026</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b w:val="1"/>
          <w:bCs w:val="1"/>
          <w:color w:val="auto"/>
        </w:rPr>
        <w:t>HAGERTY, INC.</w:t>
      </w:r>
    </w:p>
    <w:p>
      <w:pPr>
        <w:spacing w:after="0" w:line="193" w:lineRule="exact"/>
        <w:rPr>
          <w:sz w:val="20"/>
          <w:szCs w:val="20"/>
          <w:color w:val="auto"/>
        </w:rPr>
      </w:pPr>
    </w:p>
    <w:p>
      <w:pPr>
        <w:ind w:left="7400"/>
        <w:spacing w:after="0"/>
        <w:tabs>
          <w:tab w:leader="none" w:pos="8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McKeel O Hagerty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22860</wp:posOffset>
            </wp:positionV>
            <wp:extent cx="16630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McKeel O Hagerty</w:t>
      </w:r>
    </w:p>
    <w:p>
      <w:pPr>
        <w:spacing w:after="0" w:line="2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8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b w:val="1"/>
          <w:bCs w:val="1"/>
          <w:color w:val="auto"/>
        </w:rPr>
        <w:t>HAGERTY, INC.</w:t>
      </w:r>
    </w:p>
    <w:p>
      <w:pPr>
        <w:spacing w:after="0" w:line="193" w:lineRule="exact"/>
        <w:rPr>
          <w:sz w:val="20"/>
          <w:szCs w:val="20"/>
          <w:color w:val="auto"/>
        </w:rPr>
      </w:pPr>
    </w:p>
    <w:p>
      <w:pPr>
        <w:ind w:left="7400"/>
        <w:spacing w:after="0"/>
        <w:tabs>
          <w:tab w:leader="none" w:pos="8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Patrick McClymont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22860</wp:posOffset>
            </wp:positionV>
            <wp:extent cx="16630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Patrick McClymont</w:t>
      </w:r>
    </w:p>
    <w:p>
      <w:pPr>
        <w:spacing w:after="0" w:line="2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020"/>
          </w:cols>
          <w:pgMar w:left="320" w:top="238" w:right="559" w:bottom="1440" w:gutter="0" w:footer="0" w:header="0"/>
        </w:sectPr>
      </w:pPr>
    </w:p>
    <w:bookmarkStart w:id="83" w:name="page84"/>
    <w:bookmarkEnd w:id="83"/>
    <w:p>
      <w:pPr>
        <w:ind w:left="9780"/>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16"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22"/>
          <w:szCs w:val="22"/>
          <w:color w:val="auto"/>
        </w:rPr>
        <w:t>Material indicated with a “[***]” has been omitted from this exhibit because it is both (i) not material and (ii) would likely cause competitive harm to the Company if publicly disclosed.</w:t>
      </w:r>
    </w:p>
    <w:p>
      <w:pPr>
        <w:spacing w:after="0" w:line="173"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594995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March 7, 2025</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THE HAGERTY GROUP, LLC,</w:t>
      </w: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THE FOREIGN SUBSIDIARY BORROWERS PARTY HERETO,</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JPMORGAN CHASE BANK, N.A. and</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WELLS FARGO SECURITIES, LLC,</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998855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22"/>
          <w:szCs w:val="22"/>
          <w:color w:val="auto"/>
        </w:rPr>
        <w:t>1764173994.2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165100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2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60" w:type="dxa"/>
            <w:vAlign w:val="bottom"/>
            <w:gridSpan w:val="14"/>
          </w:tcPr>
          <w:p>
            <w:pPr>
              <w:jc w:val="center"/>
              <w:ind w:right="350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r>
      <w:tr>
        <w:trPr>
          <w:trHeight w:val="505"/>
        </w:trPr>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5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20"/>
        </w:trPr>
        <w:tc>
          <w:tcPr>
            <w:tcW w:w="3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2"/>
                <w:szCs w:val="22"/>
                <w:color w:val="0563C1"/>
                <w:w w:val="93"/>
              </w:rPr>
              <w:t>SECTION 1.01</w:t>
            </w:r>
          </w:p>
        </w:tc>
        <w:tc>
          <w:tcPr>
            <w:tcW w:w="220" w:type="dxa"/>
            <w:vAlign w:val="bottom"/>
          </w:tcPr>
          <w:p>
            <w:pPr>
              <w:spacing w:after="0"/>
              <w:rPr>
                <w:sz w:val="24"/>
                <w:szCs w:val="24"/>
                <w:color w:val="auto"/>
              </w:rPr>
            </w:pPr>
          </w:p>
        </w:tc>
        <w:tc>
          <w:tcPr>
            <w:tcW w:w="190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0563C1"/>
              </w:rPr>
              <w:t xml:space="preserve">Defined Terms  </w:t>
            </w:r>
            <w:r>
              <w:rPr>
                <w:rFonts w:ascii="Times New Roman" w:cs="Times New Roman" w:eastAsia="Times New Roman" w:hAnsi="Times New Roman"/>
                <w:sz w:val="22"/>
                <w:szCs w:val="22"/>
                <w:color w:val="000000"/>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6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1.02</w:t>
            </w:r>
          </w:p>
        </w:tc>
        <w:tc>
          <w:tcPr>
            <w:tcW w:w="220" w:type="dxa"/>
            <w:vAlign w:val="bottom"/>
          </w:tcPr>
          <w:p>
            <w:pPr>
              <w:spacing w:after="0"/>
              <w:rPr>
                <w:sz w:val="21"/>
                <w:szCs w:val="21"/>
                <w:color w:val="auto"/>
              </w:rPr>
            </w:pPr>
          </w:p>
        </w:tc>
        <w:tc>
          <w:tcPr>
            <w:tcW w:w="3540" w:type="dxa"/>
            <w:vAlign w:val="bottom"/>
            <w:gridSpan w:val="26"/>
          </w:tcPr>
          <w:p>
            <w:pPr>
              <w:ind w:left="20"/>
              <w:spacing w:after="0" w:line="250" w:lineRule="exact"/>
              <w:rPr>
                <w:sz w:val="20"/>
                <w:szCs w:val="20"/>
                <w:color w:val="auto"/>
              </w:rPr>
            </w:pPr>
            <w:r>
              <w:rPr>
                <w:rFonts w:ascii="Times New Roman" w:cs="Times New Roman" w:eastAsia="Times New Roman" w:hAnsi="Times New Roman"/>
                <w:sz w:val="22"/>
                <w:szCs w:val="22"/>
                <w:color w:val="0563C1"/>
                <w:w w:val="99"/>
              </w:rPr>
              <w:t>Classification of Loans and Borrowings</w:t>
            </w:r>
          </w:p>
        </w:tc>
        <w:tc>
          <w:tcPr>
            <w:tcW w:w="680" w:type="dxa"/>
            <w:vAlign w:val="bottom"/>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rPr>
              <w:t>64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1.03</w:t>
            </w:r>
          </w:p>
        </w:tc>
        <w:tc>
          <w:tcPr>
            <w:tcW w:w="220" w:type="dxa"/>
            <w:vAlign w:val="bottom"/>
          </w:tcPr>
          <w:p>
            <w:pPr>
              <w:spacing w:after="0"/>
              <w:rPr>
                <w:sz w:val="21"/>
                <w:szCs w:val="21"/>
                <w:color w:val="auto"/>
              </w:rPr>
            </w:pPr>
          </w:p>
        </w:tc>
        <w:tc>
          <w:tcPr>
            <w:tcW w:w="156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Terms Generally</w:t>
            </w:r>
          </w:p>
        </w:tc>
        <w:tc>
          <w:tcPr>
            <w:tcW w:w="340" w:type="dxa"/>
            <w:vAlign w:val="bottom"/>
            <w:gridSpan w:val="6"/>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rPr>
              <w:t>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1.04</w:t>
            </w:r>
          </w:p>
        </w:tc>
        <w:tc>
          <w:tcPr>
            <w:tcW w:w="220" w:type="dxa"/>
            <w:vAlign w:val="bottom"/>
          </w:tcPr>
          <w:p>
            <w:pPr>
              <w:spacing w:after="0"/>
              <w:rPr>
                <w:sz w:val="20"/>
                <w:szCs w:val="20"/>
                <w:color w:val="auto"/>
              </w:rPr>
            </w:pPr>
          </w:p>
        </w:tc>
        <w:tc>
          <w:tcPr>
            <w:tcW w:w="2780" w:type="dxa"/>
            <w:vAlign w:val="bottom"/>
            <w:gridSpan w:val="22"/>
          </w:tcPr>
          <w:p>
            <w:pPr>
              <w:ind w:left="20"/>
              <w:spacing w:after="0" w:line="237" w:lineRule="exact"/>
              <w:rPr>
                <w:sz w:val="20"/>
                <w:szCs w:val="20"/>
                <w:color w:val="auto"/>
              </w:rPr>
            </w:pPr>
            <w:r>
              <w:rPr>
                <w:rFonts w:ascii="Times New Roman" w:cs="Times New Roman" w:eastAsia="Times New Roman" w:hAnsi="Times New Roman"/>
                <w:sz w:val="22"/>
                <w:szCs w:val="22"/>
                <w:color w:val="0563C1"/>
              </w:rPr>
              <w:t xml:space="preserve">Accounting Terms; GAAP  </w:t>
            </w:r>
            <w:r>
              <w:rPr>
                <w:rFonts w:ascii="Times New Roman" w:cs="Times New Roman" w:eastAsia="Times New Roman" w:hAnsi="Times New Roman"/>
                <w:sz w:val="22"/>
                <w:szCs w:val="22"/>
                <w:color w:val="000000"/>
              </w:rPr>
              <w:t>65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1.05</w:t>
            </w:r>
          </w:p>
        </w:tc>
        <w:tc>
          <w:tcPr>
            <w:tcW w:w="220" w:type="dxa"/>
            <w:vAlign w:val="bottom"/>
          </w:tcPr>
          <w:p>
            <w:pPr>
              <w:spacing w:after="0"/>
              <w:rPr>
                <w:sz w:val="21"/>
                <w:szCs w:val="21"/>
                <w:color w:val="auto"/>
              </w:rPr>
            </w:pPr>
          </w:p>
        </w:tc>
        <w:tc>
          <w:tcPr>
            <w:tcW w:w="3540" w:type="dxa"/>
            <w:vAlign w:val="bottom"/>
            <w:gridSpan w:val="26"/>
          </w:tcPr>
          <w:p>
            <w:pPr>
              <w:ind w:left="20"/>
              <w:spacing w:after="0" w:line="250" w:lineRule="exact"/>
              <w:rPr>
                <w:sz w:val="20"/>
                <w:szCs w:val="20"/>
                <w:color w:val="auto"/>
              </w:rPr>
            </w:pPr>
            <w:r>
              <w:rPr>
                <w:rFonts w:ascii="Times New Roman" w:cs="Times New Roman" w:eastAsia="Times New Roman" w:hAnsi="Times New Roman"/>
                <w:sz w:val="22"/>
                <w:szCs w:val="22"/>
                <w:color w:val="0563C1"/>
                <w:w w:val="98"/>
              </w:rPr>
              <w:t>Interest Rates; Benchmark Notifications</w:t>
            </w:r>
          </w:p>
        </w:tc>
        <w:tc>
          <w:tcPr>
            <w:tcW w:w="680" w:type="dxa"/>
            <w:vAlign w:val="bottom"/>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rPr>
              <w:t>66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1.06</w:t>
            </w:r>
          </w:p>
        </w:tc>
        <w:tc>
          <w:tcPr>
            <w:tcW w:w="220" w:type="dxa"/>
            <w:vAlign w:val="bottom"/>
          </w:tcPr>
          <w:p>
            <w:pPr>
              <w:spacing w:after="0"/>
              <w:rPr>
                <w:sz w:val="20"/>
                <w:szCs w:val="20"/>
                <w:color w:val="auto"/>
              </w:rPr>
            </w:pPr>
          </w:p>
        </w:tc>
        <w:tc>
          <w:tcPr>
            <w:tcW w:w="1560" w:type="dxa"/>
            <w:vAlign w:val="bottom"/>
            <w:gridSpan w:val="9"/>
          </w:tcPr>
          <w:p>
            <w:pPr>
              <w:ind w:left="20"/>
              <w:spacing w:after="0" w:line="237" w:lineRule="exact"/>
              <w:rPr>
                <w:sz w:val="20"/>
                <w:szCs w:val="20"/>
                <w:color w:val="auto"/>
              </w:rPr>
            </w:pPr>
            <w:r>
              <w:rPr>
                <w:rFonts w:ascii="Times New Roman" w:cs="Times New Roman" w:eastAsia="Times New Roman" w:hAnsi="Times New Roman"/>
                <w:sz w:val="22"/>
                <w:szCs w:val="22"/>
                <w:color w:val="0563C1"/>
              </w:rPr>
              <w:t>Letters of Credit</w:t>
            </w:r>
          </w:p>
        </w:tc>
        <w:tc>
          <w:tcPr>
            <w:tcW w:w="3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1.07</w:t>
            </w:r>
          </w:p>
        </w:tc>
        <w:tc>
          <w:tcPr>
            <w:tcW w:w="220" w:type="dxa"/>
            <w:vAlign w:val="bottom"/>
          </w:tcPr>
          <w:p>
            <w:pPr>
              <w:spacing w:after="0"/>
              <w:rPr>
                <w:sz w:val="21"/>
                <w:szCs w:val="21"/>
                <w:color w:val="auto"/>
              </w:rPr>
            </w:pPr>
          </w:p>
        </w:tc>
        <w:tc>
          <w:tcPr>
            <w:tcW w:w="840" w:type="dxa"/>
            <w:vAlign w:val="bottom"/>
            <w:gridSpan w:val="4"/>
          </w:tcPr>
          <w:p>
            <w:pPr>
              <w:ind w:left="20"/>
              <w:spacing w:after="0" w:line="250" w:lineRule="exact"/>
              <w:rPr>
                <w:sz w:val="20"/>
                <w:szCs w:val="20"/>
                <w:color w:val="auto"/>
              </w:rPr>
            </w:pPr>
            <w:r>
              <w:rPr>
                <w:rFonts w:ascii="Times New Roman" w:cs="Times New Roman" w:eastAsia="Times New Roman" w:hAnsi="Times New Roman"/>
                <w:sz w:val="22"/>
                <w:szCs w:val="22"/>
                <w:color w:val="0563C1"/>
                <w:w w:val="94"/>
              </w:rPr>
              <w:t>Divisions</w:t>
            </w:r>
          </w:p>
        </w:tc>
        <w:tc>
          <w:tcPr>
            <w:tcW w:w="46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1.08</w:t>
            </w:r>
          </w:p>
        </w:tc>
        <w:tc>
          <w:tcPr>
            <w:tcW w:w="220" w:type="dxa"/>
            <w:vAlign w:val="bottom"/>
          </w:tcPr>
          <w:p>
            <w:pPr>
              <w:spacing w:after="0"/>
              <w:rPr>
                <w:sz w:val="21"/>
                <w:szCs w:val="21"/>
                <w:color w:val="auto"/>
              </w:rPr>
            </w:pPr>
          </w:p>
        </w:tc>
        <w:tc>
          <w:tcPr>
            <w:tcW w:w="2780" w:type="dxa"/>
            <w:vAlign w:val="bottom"/>
            <w:gridSpan w:val="22"/>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Limited Condition Transactions</w:t>
            </w:r>
          </w:p>
        </w:tc>
        <w:tc>
          <w:tcPr>
            <w:tcW w:w="600" w:type="dxa"/>
            <w:vAlign w:val="bottom"/>
            <w:gridSpan w:val="2"/>
          </w:tcPr>
          <w:p>
            <w:pPr>
              <w:jc w:val="right"/>
              <w:ind w:right="180"/>
              <w:spacing w:after="0" w:line="250" w:lineRule="exact"/>
              <w:rPr>
                <w:sz w:val="20"/>
                <w:szCs w:val="20"/>
                <w:color w:val="auto"/>
              </w:rPr>
            </w:pPr>
            <w:r>
              <w:rPr>
                <w:rFonts w:ascii="Times New Roman" w:cs="Times New Roman" w:eastAsia="Times New Roman" w:hAnsi="Times New Roman"/>
                <w:sz w:val="22"/>
                <w:szCs w:val="22"/>
                <w:color w:val="auto"/>
              </w:rPr>
              <w:t>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1.09</w:t>
            </w:r>
          </w:p>
        </w:tc>
        <w:tc>
          <w:tcPr>
            <w:tcW w:w="220" w:type="dxa"/>
            <w:vAlign w:val="bottom"/>
          </w:tcPr>
          <w:p>
            <w:pPr>
              <w:spacing w:after="0"/>
              <w:rPr>
                <w:sz w:val="20"/>
                <w:szCs w:val="20"/>
                <w:color w:val="auto"/>
              </w:rPr>
            </w:pPr>
          </w:p>
        </w:tc>
        <w:tc>
          <w:tcPr>
            <w:tcW w:w="1560" w:type="dxa"/>
            <w:vAlign w:val="bottom"/>
            <w:gridSpan w:val="9"/>
          </w:tcPr>
          <w:p>
            <w:pPr>
              <w:ind w:left="20"/>
              <w:spacing w:after="0" w:line="237" w:lineRule="exact"/>
              <w:rPr>
                <w:sz w:val="20"/>
                <w:szCs w:val="20"/>
                <w:color w:val="auto"/>
              </w:rPr>
            </w:pPr>
            <w:r>
              <w:rPr>
                <w:rFonts w:ascii="Times New Roman" w:cs="Times New Roman" w:eastAsia="Times New Roman" w:hAnsi="Times New Roman"/>
                <w:sz w:val="22"/>
                <w:szCs w:val="22"/>
                <w:color w:val="0563C1"/>
              </w:rPr>
              <w:t>Pro Forma Basis</w:t>
            </w:r>
          </w:p>
        </w:tc>
        <w:tc>
          <w:tcPr>
            <w:tcW w:w="3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1.10</w:t>
            </w:r>
          </w:p>
        </w:tc>
        <w:tc>
          <w:tcPr>
            <w:tcW w:w="220" w:type="dxa"/>
            <w:vAlign w:val="bottom"/>
          </w:tcPr>
          <w:p>
            <w:pPr>
              <w:spacing w:after="0"/>
              <w:rPr>
                <w:sz w:val="21"/>
                <w:szCs w:val="21"/>
                <w:color w:val="auto"/>
              </w:rPr>
            </w:pPr>
          </w:p>
        </w:tc>
        <w:tc>
          <w:tcPr>
            <w:tcW w:w="4360" w:type="dxa"/>
            <w:vAlign w:val="bottom"/>
            <w:gridSpan w:val="29"/>
          </w:tcPr>
          <w:p>
            <w:pPr>
              <w:ind w:left="20"/>
              <w:spacing w:after="0" w:line="250" w:lineRule="exact"/>
              <w:rPr>
                <w:sz w:val="20"/>
                <w:szCs w:val="20"/>
                <w:color w:val="auto"/>
              </w:rPr>
            </w:pPr>
            <w:r>
              <w:rPr>
                <w:rFonts w:ascii="Times New Roman" w:cs="Times New Roman" w:eastAsia="Times New Roman" w:hAnsi="Times New Roman"/>
                <w:sz w:val="22"/>
                <w:szCs w:val="22"/>
                <w:color w:val="0563C1"/>
                <w:w w:val="99"/>
              </w:rPr>
              <w:t>Calculations with Respect to Negative Covenants</w:t>
            </w:r>
          </w:p>
        </w:tc>
        <w:tc>
          <w:tcPr>
            <w:tcW w:w="540" w:type="dxa"/>
            <w:vAlign w:val="bottom"/>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rPr>
              <w:t>70</w:t>
            </w: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gridSpan w:val="3"/>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1.11</w:t>
            </w:r>
          </w:p>
        </w:tc>
        <w:tc>
          <w:tcPr>
            <w:tcW w:w="3760" w:type="dxa"/>
            <w:vAlign w:val="bottom"/>
            <w:gridSpan w:val="27"/>
          </w:tcPr>
          <w:p>
            <w:pPr>
              <w:ind w:left="220"/>
              <w:spacing w:after="0" w:line="237" w:lineRule="exact"/>
              <w:rPr>
                <w:sz w:val="20"/>
                <w:szCs w:val="20"/>
                <w:color w:val="auto"/>
              </w:rPr>
            </w:pPr>
            <w:r>
              <w:rPr>
                <w:rFonts w:ascii="Times New Roman" w:cs="Times New Roman" w:eastAsia="Times New Roman" w:hAnsi="Times New Roman"/>
                <w:sz w:val="22"/>
                <w:szCs w:val="22"/>
                <w:color w:val="0563C1"/>
              </w:rPr>
              <w:t>Exchange Rates; Currency Equivalents</w:t>
            </w:r>
          </w:p>
        </w:tc>
        <w:tc>
          <w:tcPr>
            <w:tcW w:w="680" w:type="dxa"/>
            <w:vAlign w:val="bottom"/>
          </w:tcPr>
          <w:p>
            <w:pPr>
              <w:jc w:val="right"/>
              <w:ind w:right="292"/>
              <w:spacing w:after="0" w:line="237" w:lineRule="exact"/>
              <w:rPr>
                <w:sz w:val="20"/>
                <w:szCs w:val="20"/>
                <w:color w:val="auto"/>
              </w:rPr>
            </w:pPr>
            <w:r>
              <w:rPr>
                <w:rFonts w:ascii="Times New Roman" w:cs="Times New Roman" w:eastAsia="Times New Roman" w:hAnsi="Times New Roman"/>
                <w:sz w:val="22"/>
                <w:szCs w:val="22"/>
                <w:color w:val="auto"/>
              </w:rPr>
              <w:t>70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2720" w:type="dxa"/>
            <w:vAlign w:val="bottom"/>
            <w:gridSpan w:val="7"/>
          </w:tcPr>
          <w:p>
            <w:pPr>
              <w:spacing w:after="0"/>
              <w:rPr>
                <w:sz w:val="20"/>
                <w:szCs w:val="20"/>
                <w:color w:val="auto"/>
              </w:rPr>
            </w:pPr>
            <w:r>
              <w:rPr>
                <w:rFonts w:ascii="Times New Roman" w:cs="Times New Roman" w:eastAsia="Times New Roman" w:hAnsi="Times New Roman"/>
                <w:sz w:val="22"/>
                <w:szCs w:val="22"/>
                <w:color w:val="0563C1"/>
              </w:rPr>
              <w:t>ARTICLE II. THE CREDITS</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2.01</w:t>
            </w:r>
          </w:p>
        </w:tc>
        <w:tc>
          <w:tcPr>
            <w:tcW w:w="220" w:type="dxa"/>
            <w:vAlign w:val="bottom"/>
          </w:tcPr>
          <w:p>
            <w:pPr>
              <w:spacing w:after="0"/>
              <w:rPr>
                <w:sz w:val="20"/>
                <w:szCs w:val="20"/>
                <w:color w:val="auto"/>
              </w:rPr>
            </w:pPr>
          </w:p>
        </w:tc>
        <w:tc>
          <w:tcPr>
            <w:tcW w:w="2180" w:type="dxa"/>
            <w:vAlign w:val="bottom"/>
            <w:gridSpan w:val="17"/>
          </w:tcPr>
          <w:p>
            <w:pPr>
              <w:ind w:left="20"/>
              <w:spacing w:after="0" w:line="237" w:lineRule="exact"/>
              <w:rPr>
                <w:sz w:val="20"/>
                <w:szCs w:val="20"/>
                <w:color w:val="auto"/>
              </w:rPr>
            </w:pPr>
            <w:r>
              <w:rPr>
                <w:rFonts w:ascii="Times New Roman" w:cs="Times New Roman" w:eastAsia="Times New Roman" w:hAnsi="Times New Roman"/>
                <w:sz w:val="22"/>
                <w:szCs w:val="22"/>
                <w:color w:val="0563C1"/>
                <w:w w:val="95"/>
              </w:rPr>
              <w:t>Revolving Commitments</w:t>
            </w:r>
          </w:p>
        </w:tc>
        <w:tc>
          <w:tcPr>
            <w:tcW w:w="46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380" w:type="dxa"/>
            <w:vAlign w:val="bottom"/>
            <w:tcBorders>
              <w:left w:val="single" w:sz="8" w:color="0563C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2.02</w:t>
            </w:r>
          </w:p>
        </w:tc>
        <w:tc>
          <w:tcPr>
            <w:tcW w:w="220" w:type="dxa"/>
            <w:vAlign w:val="bottom"/>
          </w:tcPr>
          <w:p>
            <w:pPr>
              <w:spacing w:after="0"/>
              <w:rPr>
                <w:sz w:val="21"/>
                <w:szCs w:val="21"/>
                <w:color w:val="auto"/>
              </w:rPr>
            </w:pPr>
          </w:p>
        </w:tc>
        <w:tc>
          <w:tcPr>
            <w:tcW w:w="2180" w:type="dxa"/>
            <w:vAlign w:val="bottom"/>
            <w:gridSpan w:val="17"/>
          </w:tcPr>
          <w:p>
            <w:pPr>
              <w:ind w:left="20"/>
              <w:spacing w:after="0" w:line="250" w:lineRule="exact"/>
              <w:rPr>
                <w:sz w:val="20"/>
                <w:szCs w:val="20"/>
                <w:color w:val="auto"/>
              </w:rPr>
            </w:pPr>
            <w:r>
              <w:rPr>
                <w:rFonts w:ascii="Times New Roman" w:cs="Times New Roman" w:eastAsia="Times New Roman" w:hAnsi="Times New Roman"/>
                <w:sz w:val="22"/>
                <w:szCs w:val="22"/>
                <w:color w:val="0563C1"/>
              </w:rPr>
              <w:t>Loans and Borrowings</w:t>
            </w:r>
          </w:p>
        </w:tc>
        <w:tc>
          <w:tcPr>
            <w:tcW w:w="380" w:type="dxa"/>
            <w:vAlign w:val="bottom"/>
            <w:gridSpan w:val="2"/>
          </w:tcPr>
          <w:p>
            <w:pPr>
              <w:jc w:val="right"/>
              <w:ind w:right="140"/>
              <w:spacing w:after="0" w:line="250" w:lineRule="exact"/>
              <w:rPr>
                <w:sz w:val="20"/>
                <w:szCs w:val="20"/>
                <w:color w:val="auto"/>
              </w:rPr>
            </w:pPr>
            <w:r>
              <w:rPr>
                <w:rFonts w:ascii="Times New Roman" w:cs="Times New Roman" w:eastAsia="Times New Roman" w:hAnsi="Times New Roman"/>
                <w:sz w:val="22"/>
                <w:szCs w:val="22"/>
                <w:color w:val="auto"/>
                <w:w w:val="99"/>
              </w:rPr>
              <w:t>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2.03</w:t>
            </w:r>
          </w:p>
        </w:tc>
        <w:tc>
          <w:tcPr>
            <w:tcW w:w="220" w:type="dxa"/>
            <w:vAlign w:val="bottom"/>
          </w:tcPr>
          <w:p>
            <w:pPr>
              <w:spacing w:after="0"/>
              <w:rPr>
                <w:sz w:val="20"/>
                <w:szCs w:val="20"/>
                <w:color w:val="auto"/>
              </w:rPr>
            </w:pPr>
          </w:p>
        </w:tc>
        <w:tc>
          <w:tcPr>
            <w:tcW w:w="2180" w:type="dxa"/>
            <w:vAlign w:val="bottom"/>
            <w:gridSpan w:val="17"/>
          </w:tcPr>
          <w:p>
            <w:pPr>
              <w:ind w:left="20"/>
              <w:spacing w:after="0" w:line="237" w:lineRule="exact"/>
              <w:rPr>
                <w:sz w:val="20"/>
                <w:szCs w:val="20"/>
                <w:color w:val="auto"/>
              </w:rPr>
            </w:pPr>
            <w:r>
              <w:rPr>
                <w:rFonts w:ascii="Times New Roman" w:cs="Times New Roman" w:eastAsia="Times New Roman" w:hAnsi="Times New Roman"/>
                <w:sz w:val="22"/>
                <w:szCs w:val="22"/>
                <w:color w:val="0563C1"/>
                <w:w w:val="96"/>
              </w:rPr>
              <w:t>Requests for Borrowings</w:t>
            </w:r>
          </w:p>
        </w:tc>
        <w:tc>
          <w:tcPr>
            <w:tcW w:w="46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71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2.04</w:t>
            </w:r>
          </w:p>
        </w:tc>
        <w:tc>
          <w:tcPr>
            <w:tcW w:w="220" w:type="dxa"/>
            <w:vAlign w:val="bottom"/>
          </w:tcPr>
          <w:p>
            <w:pPr>
              <w:spacing w:after="0"/>
              <w:rPr>
                <w:sz w:val="21"/>
                <w:szCs w:val="21"/>
                <w:color w:val="auto"/>
              </w:rPr>
            </w:pPr>
          </w:p>
        </w:tc>
        <w:tc>
          <w:tcPr>
            <w:tcW w:w="156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Swingline Loans</w:t>
            </w:r>
          </w:p>
        </w:tc>
        <w:tc>
          <w:tcPr>
            <w:tcW w:w="34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2"/>
                <w:szCs w:val="22"/>
                <w:color w:val="auto"/>
              </w:rPr>
              <w:t>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2.05</w:t>
            </w:r>
          </w:p>
        </w:tc>
        <w:tc>
          <w:tcPr>
            <w:tcW w:w="220" w:type="dxa"/>
            <w:vAlign w:val="bottom"/>
          </w:tcPr>
          <w:p>
            <w:pPr>
              <w:spacing w:after="0"/>
              <w:rPr>
                <w:sz w:val="20"/>
                <w:szCs w:val="20"/>
                <w:color w:val="auto"/>
              </w:rPr>
            </w:pPr>
          </w:p>
        </w:tc>
        <w:tc>
          <w:tcPr>
            <w:tcW w:w="1560" w:type="dxa"/>
            <w:vAlign w:val="bottom"/>
            <w:gridSpan w:val="9"/>
          </w:tcPr>
          <w:p>
            <w:pPr>
              <w:ind w:left="20"/>
              <w:spacing w:after="0" w:line="237" w:lineRule="exact"/>
              <w:rPr>
                <w:sz w:val="20"/>
                <w:szCs w:val="20"/>
                <w:color w:val="auto"/>
              </w:rPr>
            </w:pPr>
            <w:r>
              <w:rPr>
                <w:rFonts w:ascii="Times New Roman" w:cs="Times New Roman" w:eastAsia="Times New Roman" w:hAnsi="Times New Roman"/>
                <w:sz w:val="22"/>
                <w:szCs w:val="22"/>
                <w:color w:val="0563C1"/>
              </w:rPr>
              <w:t>Letters of Credit</w:t>
            </w:r>
          </w:p>
        </w:tc>
        <w:tc>
          <w:tcPr>
            <w:tcW w:w="3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2.06</w:t>
            </w:r>
          </w:p>
        </w:tc>
        <w:tc>
          <w:tcPr>
            <w:tcW w:w="220" w:type="dxa"/>
            <w:vAlign w:val="bottom"/>
          </w:tcPr>
          <w:p>
            <w:pPr>
              <w:spacing w:after="0"/>
              <w:rPr>
                <w:sz w:val="21"/>
                <w:szCs w:val="21"/>
                <w:color w:val="auto"/>
              </w:rPr>
            </w:pPr>
          </w:p>
        </w:tc>
        <w:tc>
          <w:tcPr>
            <w:tcW w:w="2180" w:type="dxa"/>
            <w:vAlign w:val="bottom"/>
            <w:gridSpan w:val="17"/>
          </w:tcPr>
          <w:p>
            <w:pPr>
              <w:ind w:left="20"/>
              <w:spacing w:after="0" w:line="250" w:lineRule="exact"/>
              <w:rPr>
                <w:sz w:val="20"/>
                <w:szCs w:val="20"/>
                <w:color w:val="auto"/>
              </w:rPr>
            </w:pPr>
            <w:r>
              <w:rPr>
                <w:rFonts w:ascii="Times New Roman" w:cs="Times New Roman" w:eastAsia="Times New Roman" w:hAnsi="Times New Roman"/>
                <w:sz w:val="22"/>
                <w:szCs w:val="22"/>
                <w:color w:val="0563C1"/>
              </w:rPr>
              <w:t>Funding of Borrowings</w:t>
            </w:r>
          </w:p>
        </w:tc>
        <w:tc>
          <w:tcPr>
            <w:tcW w:w="380" w:type="dxa"/>
            <w:vAlign w:val="bottom"/>
            <w:gridSpan w:val="2"/>
          </w:tcPr>
          <w:p>
            <w:pPr>
              <w:jc w:val="right"/>
              <w:ind w:right="80"/>
              <w:spacing w:after="0" w:line="250" w:lineRule="exact"/>
              <w:rPr>
                <w:sz w:val="20"/>
                <w:szCs w:val="20"/>
                <w:color w:val="auto"/>
              </w:rPr>
            </w:pPr>
            <w:r>
              <w:rPr>
                <w:rFonts w:ascii="Times New Roman" w:cs="Times New Roman" w:eastAsia="Times New Roman" w:hAnsi="Times New Roman"/>
                <w:sz w:val="22"/>
                <w:szCs w:val="22"/>
                <w:color w:val="auto"/>
              </w:rPr>
              <w:t>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2.07</w:t>
            </w:r>
          </w:p>
        </w:tc>
        <w:tc>
          <w:tcPr>
            <w:tcW w:w="220" w:type="dxa"/>
            <w:vAlign w:val="bottom"/>
          </w:tcPr>
          <w:p>
            <w:pPr>
              <w:spacing w:after="0"/>
              <w:rPr>
                <w:sz w:val="21"/>
                <w:szCs w:val="21"/>
                <w:color w:val="auto"/>
              </w:rPr>
            </w:pPr>
          </w:p>
        </w:tc>
        <w:tc>
          <w:tcPr>
            <w:tcW w:w="156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w w:val="99"/>
              </w:rPr>
              <w:t>Interest Elections</w:t>
            </w:r>
          </w:p>
        </w:tc>
        <w:tc>
          <w:tcPr>
            <w:tcW w:w="42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auto"/>
              </w:rPr>
              <w:t>81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2.08</w:t>
            </w:r>
          </w:p>
        </w:tc>
        <w:tc>
          <w:tcPr>
            <w:tcW w:w="220" w:type="dxa"/>
            <w:vAlign w:val="bottom"/>
          </w:tcPr>
          <w:p>
            <w:pPr>
              <w:spacing w:after="0"/>
              <w:rPr>
                <w:sz w:val="20"/>
                <w:szCs w:val="20"/>
                <w:color w:val="auto"/>
              </w:rPr>
            </w:pPr>
          </w:p>
        </w:tc>
        <w:tc>
          <w:tcPr>
            <w:tcW w:w="8420" w:type="dxa"/>
            <w:vAlign w:val="bottom"/>
            <w:gridSpan w:val="33"/>
          </w:tcPr>
          <w:p>
            <w:pPr>
              <w:ind w:left="20"/>
              <w:spacing w:after="0" w:line="237" w:lineRule="exact"/>
              <w:rPr>
                <w:sz w:val="20"/>
                <w:szCs w:val="20"/>
                <w:color w:val="auto"/>
              </w:rPr>
            </w:pPr>
            <w:r>
              <w:rPr>
                <w:rFonts w:ascii="Times New Roman" w:cs="Times New Roman" w:eastAsia="Times New Roman" w:hAnsi="Times New Roman"/>
                <w:sz w:val="22"/>
                <w:szCs w:val="22"/>
                <w:color w:val="0563C1"/>
              </w:rPr>
              <w:t xml:space="preserve">Termination and Reduction of Commitments; Incremental Facilities  </w:t>
            </w:r>
            <w:r>
              <w:rPr>
                <w:rFonts w:ascii="Times New Roman" w:cs="Times New Roman" w:eastAsia="Times New Roman" w:hAnsi="Times New Roman"/>
                <w:sz w:val="22"/>
                <w:szCs w:val="22"/>
                <w:color w:val="000000"/>
              </w:rPr>
              <w:t>83</w:t>
            </w: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gridSpan w:val="3"/>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2.09</w:t>
            </w:r>
          </w:p>
        </w:tc>
        <w:tc>
          <w:tcPr>
            <w:tcW w:w="220" w:type="dxa"/>
            <w:vAlign w:val="bottom"/>
          </w:tcPr>
          <w:p>
            <w:pPr>
              <w:spacing w:after="0"/>
              <w:rPr>
                <w:sz w:val="21"/>
                <w:szCs w:val="21"/>
                <w:color w:val="auto"/>
              </w:rPr>
            </w:pPr>
          </w:p>
        </w:tc>
        <w:tc>
          <w:tcPr>
            <w:tcW w:w="3540" w:type="dxa"/>
            <w:vAlign w:val="bottom"/>
            <w:gridSpan w:val="26"/>
          </w:tcPr>
          <w:p>
            <w:pPr>
              <w:ind w:left="20"/>
              <w:spacing w:after="0" w:line="250" w:lineRule="exact"/>
              <w:rPr>
                <w:sz w:val="20"/>
                <w:szCs w:val="20"/>
                <w:color w:val="auto"/>
              </w:rPr>
            </w:pPr>
            <w:r>
              <w:rPr>
                <w:rFonts w:ascii="Times New Roman" w:cs="Times New Roman" w:eastAsia="Times New Roman" w:hAnsi="Times New Roman"/>
                <w:sz w:val="22"/>
                <w:szCs w:val="22"/>
                <w:color w:val="0563C1"/>
              </w:rPr>
              <w:t>Repayment of Loans; Evidence of Debt</w:t>
            </w:r>
          </w:p>
        </w:tc>
        <w:tc>
          <w:tcPr>
            <w:tcW w:w="680" w:type="dxa"/>
            <w:vAlign w:val="bottom"/>
          </w:tcPr>
          <w:p>
            <w:pPr>
              <w:jc w:val="right"/>
              <w:ind w:right="232"/>
              <w:spacing w:after="0" w:line="250" w:lineRule="exact"/>
              <w:rPr>
                <w:sz w:val="20"/>
                <w:szCs w:val="20"/>
                <w:color w:val="auto"/>
              </w:rPr>
            </w:pPr>
            <w:r>
              <w:rPr>
                <w:rFonts w:ascii="Times New Roman" w:cs="Times New Roman" w:eastAsia="Times New Roman" w:hAnsi="Times New Roman"/>
                <w:sz w:val="22"/>
                <w:szCs w:val="22"/>
                <w:color w:val="auto"/>
              </w:rPr>
              <w:t>89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tcBorders>
              <w:left w:val="single" w:sz="8" w:color="0563C1"/>
            </w:tcBorders>
            <w:gridSpan w:val="3"/>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2.10</w:t>
            </w:r>
          </w:p>
        </w:tc>
        <w:tc>
          <w:tcPr>
            <w:tcW w:w="220" w:type="dxa"/>
            <w:vAlign w:val="bottom"/>
          </w:tcPr>
          <w:p>
            <w:pPr>
              <w:spacing w:after="0"/>
              <w:rPr>
                <w:sz w:val="20"/>
                <w:szCs w:val="20"/>
                <w:color w:val="auto"/>
              </w:rPr>
            </w:pPr>
          </w:p>
        </w:tc>
        <w:tc>
          <w:tcPr>
            <w:tcW w:w="1900" w:type="dxa"/>
            <w:vAlign w:val="bottom"/>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563C1"/>
                <w:w w:val="98"/>
              </w:rPr>
              <w:t>Prepayment of Loans</w:t>
            </w:r>
          </w:p>
        </w:tc>
        <w:tc>
          <w:tcPr>
            <w:tcW w:w="4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90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2.11</w:t>
            </w:r>
          </w:p>
        </w:tc>
        <w:tc>
          <w:tcPr>
            <w:tcW w:w="1060" w:type="dxa"/>
            <w:vAlign w:val="bottom"/>
            <w:gridSpan w:val="5"/>
          </w:tcPr>
          <w:p>
            <w:pPr>
              <w:ind w:left="220"/>
              <w:spacing w:after="0" w:line="250" w:lineRule="exact"/>
              <w:rPr>
                <w:sz w:val="20"/>
                <w:szCs w:val="20"/>
                <w:color w:val="auto"/>
              </w:rPr>
            </w:pPr>
            <w:r>
              <w:rPr>
                <w:rFonts w:ascii="Times New Roman" w:cs="Times New Roman" w:eastAsia="Times New Roman" w:hAnsi="Times New Roman"/>
                <w:sz w:val="22"/>
                <w:szCs w:val="22"/>
                <w:color w:val="0563C1"/>
              </w:rPr>
              <w:t xml:space="preserve">Fees  </w:t>
            </w:r>
            <w:r>
              <w:rPr>
                <w:rFonts w:ascii="Times New Roman" w:cs="Times New Roman" w:eastAsia="Times New Roman" w:hAnsi="Times New Roman"/>
                <w:sz w:val="22"/>
                <w:szCs w:val="22"/>
                <w:color w:val="000000"/>
              </w:rPr>
              <w:t>92</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2.12</w:t>
            </w:r>
          </w:p>
        </w:tc>
        <w:tc>
          <w:tcPr>
            <w:tcW w:w="220" w:type="dxa"/>
            <w:vAlign w:val="bottom"/>
          </w:tcPr>
          <w:p>
            <w:pPr>
              <w:spacing w:after="0"/>
              <w:rPr>
                <w:sz w:val="21"/>
                <w:szCs w:val="21"/>
                <w:color w:val="auto"/>
              </w:rPr>
            </w:pPr>
          </w:p>
        </w:tc>
        <w:tc>
          <w:tcPr>
            <w:tcW w:w="840" w:type="dxa"/>
            <w:vAlign w:val="bottom"/>
            <w:gridSpan w:val="4"/>
          </w:tcPr>
          <w:p>
            <w:pPr>
              <w:ind w:left="20"/>
              <w:spacing w:after="0" w:line="250" w:lineRule="exact"/>
              <w:rPr>
                <w:sz w:val="20"/>
                <w:szCs w:val="20"/>
                <w:color w:val="auto"/>
              </w:rPr>
            </w:pPr>
            <w:r>
              <w:rPr>
                <w:rFonts w:ascii="Times New Roman" w:cs="Times New Roman" w:eastAsia="Times New Roman" w:hAnsi="Times New Roman"/>
                <w:sz w:val="22"/>
                <w:szCs w:val="22"/>
                <w:color w:val="0563C1"/>
              </w:rPr>
              <w:t>Interest</w:t>
            </w:r>
          </w:p>
        </w:tc>
        <w:tc>
          <w:tcPr>
            <w:tcW w:w="460" w:type="dxa"/>
            <w:vAlign w:val="bottom"/>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93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563C1"/>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2.13</w:t>
            </w:r>
          </w:p>
        </w:tc>
        <w:tc>
          <w:tcPr>
            <w:tcW w:w="220" w:type="dxa"/>
            <w:vAlign w:val="bottom"/>
          </w:tcPr>
          <w:p>
            <w:pPr>
              <w:spacing w:after="0"/>
              <w:rPr>
                <w:sz w:val="20"/>
                <w:szCs w:val="20"/>
                <w:color w:val="auto"/>
              </w:rPr>
            </w:pPr>
          </w:p>
        </w:tc>
        <w:tc>
          <w:tcPr>
            <w:tcW w:w="3540" w:type="dxa"/>
            <w:vAlign w:val="bottom"/>
            <w:gridSpan w:val="26"/>
          </w:tcPr>
          <w:p>
            <w:pPr>
              <w:ind w:left="20"/>
              <w:spacing w:after="0" w:line="237" w:lineRule="exact"/>
              <w:rPr>
                <w:sz w:val="20"/>
                <w:szCs w:val="20"/>
                <w:color w:val="auto"/>
              </w:rPr>
            </w:pPr>
            <w:r>
              <w:rPr>
                <w:rFonts w:ascii="Times New Roman" w:cs="Times New Roman" w:eastAsia="Times New Roman" w:hAnsi="Times New Roman"/>
                <w:sz w:val="22"/>
                <w:szCs w:val="22"/>
                <w:color w:val="0563C1"/>
              </w:rPr>
              <w:t xml:space="preserve">Alternate Rate of Interest; Illegality  </w:t>
            </w:r>
            <w:r>
              <w:rPr>
                <w:rFonts w:ascii="Times New Roman" w:cs="Times New Roman" w:eastAsia="Times New Roman" w:hAnsi="Times New Roman"/>
                <w:sz w:val="22"/>
                <w:szCs w:val="22"/>
                <w:color w:val="000000"/>
              </w:rPr>
              <w:t>93</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2.14</w:t>
            </w:r>
          </w:p>
        </w:tc>
        <w:tc>
          <w:tcPr>
            <w:tcW w:w="220" w:type="dxa"/>
            <w:vAlign w:val="bottom"/>
          </w:tcPr>
          <w:p>
            <w:pPr>
              <w:spacing w:after="0"/>
              <w:rPr>
                <w:sz w:val="21"/>
                <w:szCs w:val="21"/>
                <w:color w:val="auto"/>
              </w:rPr>
            </w:pPr>
          </w:p>
        </w:tc>
        <w:tc>
          <w:tcPr>
            <w:tcW w:w="156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Increased Costs</w:t>
            </w:r>
          </w:p>
        </w:tc>
        <w:tc>
          <w:tcPr>
            <w:tcW w:w="300" w:type="dxa"/>
            <w:vAlign w:val="bottom"/>
            <w:gridSpan w:val="4"/>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w w:val="99"/>
              </w:rPr>
              <w:t>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shd w:val="clear" w:color="auto" w:fill="0563C1"/>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2.15</w:t>
            </w:r>
          </w:p>
        </w:tc>
        <w:tc>
          <w:tcPr>
            <w:tcW w:w="220" w:type="dxa"/>
            <w:vAlign w:val="bottom"/>
          </w:tcPr>
          <w:p>
            <w:pPr>
              <w:spacing w:after="0"/>
              <w:rPr>
                <w:sz w:val="20"/>
                <w:szCs w:val="20"/>
                <w:color w:val="auto"/>
              </w:rPr>
            </w:pPr>
          </w:p>
        </w:tc>
        <w:tc>
          <w:tcPr>
            <w:tcW w:w="2180" w:type="dxa"/>
            <w:vAlign w:val="bottom"/>
            <w:gridSpan w:val="17"/>
          </w:tcPr>
          <w:p>
            <w:pPr>
              <w:ind w:left="20"/>
              <w:spacing w:after="0" w:line="237" w:lineRule="exact"/>
              <w:rPr>
                <w:sz w:val="20"/>
                <w:szCs w:val="20"/>
                <w:color w:val="auto"/>
              </w:rPr>
            </w:pPr>
            <w:r>
              <w:rPr>
                <w:rFonts w:ascii="Times New Roman" w:cs="Times New Roman" w:eastAsia="Times New Roman" w:hAnsi="Times New Roman"/>
                <w:sz w:val="22"/>
                <w:szCs w:val="22"/>
                <w:color w:val="0563C1"/>
                <w:w w:val="95"/>
              </w:rPr>
              <w:t>Break Funding Payments</w:t>
            </w:r>
          </w:p>
        </w:tc>
        <w:tc>
          <w:tcPr>
            <w:tcW w:w="580" w:type="dxa"/>
            <w:vAlign w:val="bottom"/>
            <w:gridSpan w:val="4"/>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99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9"/>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380" w:type="dxa"/>
            <w:vAlign w:val="bottom"/>
            <w:tcBorders>
              <w:left w:val="single" w:sz="8" w:color="0563C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2.16</w:t>
            </w:r>
          </w:p>
        </w:tc>
        <w:tc>
          <w:tcPr>
            <w:tcW w:w="220" w:type="dxa"/>
            <w:vAlign w:val="bottom"/>
          </w:tcPr>
          <w:p>
            <w:pPr>
              <w:spacing w:after="0"/>
              <w:rPr>
                <w:sz w:val="21"/>
                <w:szCs w:val="21"/>
                <w:color w:val="auto"/>
              </w:rPr>
            </w:pPr>
          </w:p>
        </w:tc>
        <w:tc>
          <w:tcPr>
            <w:tcW w:w="2780" w:type="dxa"/>
            <w:vAlign w:val="bottom"/>
            <w:gridSpan w:val="22"/>
          </w:tcPr>
          <w:p>
            <w:pPr>
              <w:ind w:left="20"/>
              <w:spacing w:after="0" w:line="250" w:lineRule="exact"/>
              <w:rPr>
                <w:sz w:val="20"/>
                <w:szCs w:val="20"/>
                <w:color w:val="auto"/>
              </w:rPr>
            </w:pPr>
            <w:r>
              <w:rPr>
                <w:rFonts w:ascii="Times New Roman" w:cs="Times New Roman" w:eastAsia="Times New Roman" w:hAnsi="Times New Roman"/>
                <w:sz w:val="22"/>
                <w:szCs w:val="22"/>
                <w:color w:val="0563C1"/>
              </w:rPr>
              <w:t>Withholding Taxes; Gross Up</w:t>
            </w:r>
          </w:p>
        </w:tc>
        <w:tc>
          <w:tcPr>
            <w:tcW w:w="6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rPr>
              <w:t>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9"/>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2.17</w:t>
            </w:r>
          </w:p>
        </w:tc>
        <w:tc>
          <w:tcPr>
            <w:tcW w:w="220" w:type="dxa"/>
            <w:vAlign w:val="bottom"/>
          </w:tcPr>
          <w:p>
            <w:pPr>
              <w:spacing w:after="0"/>
              <w:rPr>
                <w:sz w:val="21"/>
                <w:szCs w:val="21"/>
                <w:color w:val="auto"/>
              </w:rPr>
            </w:pPr>
          </w:p>
        </w:tc>
        <w:tc>
          <w:tcPr>
            <w:tcW w:w="8420" w:type="dxa"/>
            <w:vAlign w:val="bottom"/>
            <w:gridSpan w:val="33"/>
          </w:tcPr>
          <w:p>
            <w:pPr>
              <w:ind w:left="20"/>
              <w:spacing w:after="0" w:line="250" w:lineRule="exact"/>
              <w:rPr>
                <w:sz w:val="20"/>
                <w:szCs w:val="20"/>
                <w:color w:val="auto"/>
              </w:rPr>
            </w:pPr>
            <w:r>
              <w:rPr>
                <w:rFonts w:ascii="Times New Roman" w:cs="Times New Roman" w:eastAsia="Times New Roman" w:hAnsi="Times New Roman"/>
                <w:sz w:val="22"/>
                <w:szCs w:val="22"/>
                <w:color w:val="0563C1"/>
                <w:w w:val="99"/>
              </w:rPr>
              <w:t xml:space="preserve">Payments Generally; Allocation of Proceeds; Sharing of Set-offs; AHYDO Savings Clause  </w:t>
            </w:r>
            <w:r>
              <w:rPr>
                <w:rFonts w:ascii="Times New Roman" w:cs="Times New Roman" w:eastAsia="Times New Roman" w:hAnsi="Times New Roman"/>
                <w:sz w:val="22"/>
                <w:szCs w:val="22"/>
                <w:color w:val="000000"/>
                <w:w w:val="99"/>
              </w:rPr>
              <w:t>105</w:t>
            </w: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9"/>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740" w:type="dxa"/>
            <w:vAlign w:val="bottom"/>
            <w:tcBorders>
              <w:right w:val="single" w:sz="8" w:color="0563C1"/>
            </w:tcBorders>
            <w:gridSpan w:val="4"/>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2000" w:type="dxa"/>
            <w:vAlign w:val="bottom"/>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2.18</w:t>
            </w:r>
          </w:p>
        </w:tc>
        <w:tc>
          <w:tcPr>
            <w:tcW w:w="220" w:type="dxa"/>
            <w:vAlign w:val="bottom"/>
          </w:tcPr>
          <w:p>
            <w:pPr>
              <w:spacing w:after="0"/>
              <w:rPr>
                <w:sz w:val="20"/>
                <w:szCs w:val="20"/>
                <w:color w:val="auto"/>
              </w:rPr>
            </w:pPr>
          </w:p>
        </w:tc>
        <w:tc>
          <w:tcPr>
            <w:tcW w:w="4360" w:type="dxa"/>
            <w:vAlign w:val="bottom"/>
            <w:gridSpan w:val="29"/>
          </w:tcPr>
          <w:p>
            <w:pPr>
              <w:ind w:left="20"/>
              <w:spacing w:after="0" w:line="237" w:lineRule="exact"/>
              <w:rPr>
                <w:sz w:val="20"/>
                <w:szCs w:val="20"/>
                <w:color w:val="auto"/>
              </w:rPr>
            </w:pPr>
            <w:r>
              <w:rPr>
                <w:rFonts w:ascii="Times New Roman" w:cs="Times New Roman" w:eastAsia="Times New Roman" w:hAnsi="Times New Roman"/>
                <w:sz w:val="22"/>
                <w:szCs w:val="22"/>
                <w:color w:val="0563C1"/>
              </w:rPr>
              <w:t>Mitigation Obligations; Replacement of Lenders</w:t>
            </w:r>
          </w:p>
        </w:tc>
        <w:tc>
          <w:tcPr>
            <w:tcW w:w="540" w:type="dxa"/>
            <w:vAlign w:val="bottom"/>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108</w:t>
            </w: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9"/>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2.19</w:t>
            </w:r>
          </w:p>
        </w:tc>
        <w:tc>
          <w:tcPr>
            <w:tcW w:w="220" w:type="dxa"/>
            <w:vAlign w:val="bottom"/>
          </w:tcPr>
          <w:p>
            <w:pPr>
              <w:spacing w:after="0"/>
              <w:rPr>
                <w:sz w:val="21"/>
                <w:szCs w:val="21"/>
                <w:color w:val="auto"/>
              </w:rPr>
            </w:pPr>
          </w:p>
        </w:tc>
        <w:tc>
          <w:tcPr>
            <w:tcW w:w="1900" w:type="dxa"/>
            <w:vAlign w:val="bottom"/>
            <w:gridSpan w:val="15"/>
          </w:tcPr>
          <w:p>
            <w:pPr>
              <w:ind w:left="20"/>
              <w:spacing w:after="0" w:line="250" w:lineRule="exact"/>
              <w:rPr>
                <w:sz w:val="20"/>
                <w:szCs w:val="20"/>
                <w:color w:val="auto"/>
              </w:rPr>
            </w:pPr>
            <w:r>
              <w:rPr>
                <w:rFonts w:ascii="Times New Roman" w:cs="Times New Roman" w:eastAsia="Times New Roman" w:hAnsi="Times New Roman"/>
                <w:sz w:val="22"/>
                <w:szCs w:val="22"/>
                <w:color w:val="0563C1"/>
              </w:rPr>
              <w:t>Defaulting Lenders</w:t>
            </w:r>
          </w:p>
        </w:tc>
        <w:tc>
          <w:tcPr>
            <w:tcW w:w="42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109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9"/>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2.20</w:t>
            </w:r>
          </w:p>
        </w:tc>
        <w:tc>
          <w:tcPr>
            <w:tcW w:w="220" w:type="dxa"/>
            <w:vAlign w:val="bottom"/>
          </w:tcPr>
          <w:p>
            <w:pPr>
              <w:spacing w:after="0"/>
              <w:rPr>
                <w:sz w:val="20"/>
                <w:szCs w:val="20"/>
                <w:color w:val="auto"/>
              </w:rPr>
            </w:pPr>
          </w:p>
        </w:tc>
        <w:tc>
          <w:tcPr>
            <w:tcW w:w="1900" w:type="dxa"/>
            <w:vAlign w:val="bottom"/>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563C1"/>
              </w:rPr>
              <w:t>Returned Payments</w:t>
            </w:r>
          </w:p>
        </w:tc>
        <w:tc>
          <w:tcPr>
            <w:tcW w:w="4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w w:val="96"/>
              </w:rPr>
              <w:t>112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10"/>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2.21</w:t>
            </w:r>
          </w:p>
        </w:tc>
        <w:tc>
          <w:tcPr>
            <w:tcW w:w="220" w:type="dxa"/>
            <w:vAlign w:val="bottom"/>
          </w:tcPr>
          <w:p>
            <w:pPr>
              <w:spacing w:after="0"/>
              <w:rPr>
                <w:sz w:val="21"/>
                <w:szCs w:val="21"/>
                <w:color w:val="auto"/>
              </w:rPr>
            </w:pPr>
          </w:p>
        </w:tc>
        <w:tc>
          <w:tcPr>
            <w:tcW w:w="3540" w:type="dxa"/>
            <w:vAlign w:val="bottom"/>
            <w:gridSpan w:val="26"/>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Banking Services and Swap Agreements</w:t>
            </w:r>
          </w:p>
        </w:tc>
        <w:tc>
          <w:tcPr>
            <w:tcW w:w="680" w:type="dxa"/>
            <w:vAlign w:val="bottom"/>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rPr>
              <w:t>112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11"/>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600" w:type="dxa"/>
            <w:vAlign w:val="bottom"/>
            <w:tcBorders>
              <w:righ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2.22</w:t>
            </w:r>
          </w:p>
        </w:tc>
        <w:tc>
          <w:tcPr>
            <w:tcW w:w="220" w:type="dxa"/>
            <w:vAlign w:val="bottom"/>
          </w:tcPr>
          <w:p>
            <w:pPr>
              <w:spacing w:after="0"/>
              <w:rPr>
                <w:sz w:val="21"/>
                <w:szCs w:val="21"/>
                <w:color w:val="auto"/>
              </w:rPr>
            </w:pPr>
          </w:p>
        </w:tc>
        <w:tc>
          <w:tcPr>
            <w:tcW w:w="2780" w:type="dxa"/>
            <w:vAlign w:val="bottom"/>
            <w:gridSpan w:val="22"/>
          </w:tcPr>
          <w:p>
            <w:pPr>
              <w:ind w:left="20"/>
              <w:spacing w:after="0" w:line="250" w:lineRule="exact"/>
              <w:rPr>
                <w:sz w:val="20"/>
                <w:szCs w:val="20"/>
                <w:color w:val="auto"/>
              </w:rPr>
            </w:pPr>
            <w:r>
              <w:rPr>
                <w:rFonts w:ascii="Times New Roman" w:cs="Times New Roman" w:eastAsia="Times New Roman" w:hAnsi="Times New Roman"/>
                <w:sz w:val="22"/>
                <w:szCs w:val="22"/>
                <w:color w:val="0563C1"/>
              </w:rPr>
              <w:t>Foreign Subsidiary Borrowers</w:t>
            </w:r>
          </w:p>
        </w:tc>
        <w:tc>
          <w:tcPr>
            <w:tcW w:w="600" w:type="dxa"/>
            <w:vAlign w:val="bottom"/>
            <w:gridSpan w:val="2"/>
          </w:tcPr>
          <w:p>
            <w:pPr>
              <w:jc w:val="right"/>
              <w:ind w:right="220"/>
              <w:spacing w:after="0" w:line="250" w:lineRule="exact"/>
              <w:rPr>
                <w:sz w:val="20"/>
                <w:szCs w:val="20"/>
                <w:color w:val="auto"/>
              </w:rPr>
            </w:pPr>
            <w:r>
              <w:rPr>
                <w:rFonts w:ascii="Times New Roman" w:cs="Times New Roman" w:eastAsia="Times New Roman" w:hAnsi="Times New Roman"/>
                <w:sz w:val="22"/>
                <w:szCs w:val="22"/>
                <w:color w:val="auto"/>
              </w:rPr>
              <w:t>113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11"/>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2.23</w:t>
            </w:r>
          </w:p>
        </w:tc>
        <w:tc>
          <w:tcPr>
            <w:tcW w:w="220" w:type="dxa"/>
            <w:vAlign w:val="bottom"/>
          </w:tcPr>
          <w:p>
            <w:pPr>
              <w:spacing w:after="0"/>
              <w:rPr>
                <w:sz w:val="20"/>
                <w:szCs w:val="20"/>
                <w:color w:val="auto"/>
              </w:rPr>
            </w:pPr>
          </w:p>
        </w:tc>
        <w:tc>
          <w:tcPr>
            <w:tcW w:w="1900" w:type="dxa"/>
            <w:vAlign w:val="bottom"/>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563C1"/>
              </w:rPr>
              <w:t>Extension Facilities</w:t>
            </w:r>
          </w:p>
        </w:tc>
        <w:tc>
          <w:tcPr>
            <w:tcW w:w="4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113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1700" w:type="dxa"/>
            <w:vAlign w:val="bottom"/>
            <w:gridSpan w:val="11"/>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5420" w:type="dxa"/>
            <w:vAlign w:val="bottom"/>
            <w:gridSpan w:val="29"/>
          </w:tcPr>
          <w:p>
            <w:pPr>
              <w:spacing w:after="0"/>
              <w:rPr>
                <w:sz w:val="20"/>
                <w:szCs w:val="20"/>
                <w:color w:val="auto"/>
              </w:rPr>
            </w:pPr>
            <w:r>
              <w:rPr>
                <w:rFonts w:ascii="Times New Roman" w:cs="Times New Roman" w:eastAsia="Times New Roman" w:hAnsi="Times New Roman"/>
                <w:sz w:val="22"/>
                <w:szCs w:val="22"/>
                <w:color w:val="0563C1"/>
              </w:rPr>
              <w:t>ARTICLE III. REPRESENTATIONS AND WARRANTIES</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117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7"/>
        </w:trPr>
        <w:tc>
          <w:tcPr>
            <w:tcW w:w="340" w:type="dxa"/>
            <w:vAlign w:val="bottom"/>
            <w:tcBorders>
              <w:top w:val="single" w:sz="8" w:color="0563C1"/>
            </w:tcBorders>
          </w:tcPr>
          <w:p>
            <w:pPr>
              <w:spacing w:after="0"/>
              <w:rPr>
                <w:sz w:val="20"/>
                <w:szCs w:val="20"/>
                <w:color w:val="auto"/>
              </w:rPr>
            </w:pPr>
          </w:p>
        </w:tc>
        <w:tc>
          <w:tcPr>
            <w:tcW w:w="1320" w:type="dxa"/>
            <w:vAlign w:val="bottom"/>
            <w:tcBorders>
              <w:top w:val="single" w:sz="8" w:color="0563C1"/>
            </w:tcBorders>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3.01</w:t>
            </w:r>
          </w:p>
        </w:tc>
        <w:tc>
          <w:tcPr>
            <w:tcW w:w="220" w:type="dxa"/>
            <w:vAlign w:val="bottom"/>
            <w:tcBorders>
              <w:top w:val="single" w:sz="8" w:color="0563C1"/>
            </w:tcBorders>
          </w:tcPr>
          <w:p>
            <w:pPr>
              <w:spacing w:after="0"/>
              <w:rPr>
                <w:sz w:val="20"/>
                <w:szCs w:val="20"/>
                <w:color w:val="auto"/>
              </w:rPr>
            </w:pPr>
          </w:p>
        </w:tc>
        <w:tc>
          <w:tcPr>
            <w:tcW w:w="1900" w:type="dxa"/>
            <w:vAlign w:val="bottom"/>
            <w:tcBorders>
              <w:top w:val="single" w:sz="8" w:color="0563C1"/>
            </w:tcBorders>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563C1"/>
                <w:w w:val="97"/>
              </w:rPr>
              <w:t>Organization; Powers</w:t>
            </w:r>
          </w:p>
        </w:tc>
        <w:tc>
          <w:tcPr>
            <w:tcW w:w="660" w:type="dxa"/>
            <w:vAlign w:val="bottom"/>
            <w:tcBorders>
              <w:top w:val="single" w:sz="8" w:color="0563C1"/>
            </w:tcBorders>
            <w:gridSpan w:val="4"/>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117</w:t>
            </w:r>
          </w:p>
        </w:tc>
        <w:tc>
          <w:tcPr>
            <w:tcW w:w="8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320" w:type="dxa"/>
            <w:vAlign w:val="bottom"/>
            <w:tcBorders>
              <w:top w:val="single" w:sz="8" w:color="0563C1"/>
            </w:tcBorders>
          </w:tcPr>
          <w:p>
            <w:pPr>
              <w:spacing w:after="0"/>
              <w:rPr>
                <w:sz w:val="20"/>
                <w:szCs w:val="20"/>
                <w:color w:val="auto"/>
              </w:rPr>
            </w:pPr>
          </w:p>
        </w:tc>
        <w:tc>
          <w:tcPr>
            <w:tcW w:w="280" w:type="dxa"/>
            <w:vAlign w:val="bottom"/>
            <w:tcBorders>
              <w:top w:val="single" w:sz="8" w:color="0563C1"/>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13"/>
            <w:shd w:val="clear" w:color="auto" w:fill="0563C1"/>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3.02</w:t>
            </w:r>
          </w:p>
        </w:tc>
        <w:tc>
          <w:tcPr>
            <w:tcW w:w="220" w:type="dxa"/>
            <w:vAlign w:val="bottom"/>
          </w:tcPr>
          <w:p>
            <w:pPr>
              <w:spacing w:after="0"/>
              <w:rPr>
                <w:sz w:val="21"/>
                <w:szCs w:val="21"/>
                <w:color w:val="auto"/>
              </w:rPr>
            </w:pPr>
          </w:p>
        </w:tc>
        <w:tc>
          <w:tcPr>
            <w:tcW w:w="2780" w:type="dxa"/>
            <w:vAlign w:val="bottom"/>
            <w:gridSpan w:val="22"/>
          </w:tcPr>
          <w:p>
            <w:pPr>
              <w:ind w:left="20"/>
              <w:spacing w:after="0" w:line="250" w:lineRule="exact"/>
              <w:rPr>
                <w:sz w:val="20"/>
                <w:szCs w:val="20"/>
                <w:color w:val="auto"/>
              </w:rPr>
            </w:pPr>
            <w:r>
              <w:rPr>
                <w:rFonts w:ascii="Times New Roman" w:cs="Times New Roman" w:eastAsia="Times New Roman" w:hAnsi="Times New Roman"/>
                <w:sz w:val="22"/>
                <w:szCs w:val="22"/>
                <w:color w:val="0563C1"/>
              </w:rPr>
              <w:t>Authorization; Enforceability</w:t>
            </w:r>
          </w:p>
        </w:tc>
        <w:tc>
          <w:tcPr>
            <w:tcW w:w="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w w:val="90"/>
              </w:rPr>
              <w:t>117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1399" w:right="12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2"/>
                <w:szCs w:val="22"/>
                <w:color w:val="0563C1"/>
                <w:w w:val="93"/>
              </w:rPr>
              <w:t>SECTION 3.03</w:t>
            </w:r>
          </w:p>
        </w:tc>
        <w:tc>
          <w:tcPr>
            <w:tcW w:w="220" w:type="dxa"/>
            <w:vAlign w:val="bottom"/>
          </w:tcPr>
          <w:p>
            <w:pPr>
              <w:spacing w:after="0"/>
              <w:rPr>
                <w:sz w:val="22"/>
                <w:szCs w:val="22"/>
                <w:color w:val="auto"/>
              </w:rPr>
            </w:pPr>
          </w:p>
        </w:tc>
        <w:tc>
          <w:tcPr>
            <w:tcW w:w="3540" w:type="dxa"/>
            <w:vAlign w:val="bottom"/>
            <w:gridSpan w:val="31"/>
          </w:tcPr>
          <w:p>
            <w:pPr>
              <w:ind w:left="20"/>
              <w:spacing w:after="0"/>
              <w:rPr>
                <w:sz w:val="20"/>
                <w:szCs w:val="20"/>
                <w:color w:val="auto"/>
              </w:rPr>
            </w:pPr>
            <w:r>
              <w:rPr>
                <w:rFonts w:ascii="Times New Roman" w:cs="Times New Roman" w:eastAsia="Times New Roman" w:hAnsi="Times New Roman"/>
                <w:sz w:val="22"/>
                <w:szCs w:val="22"/>
                <w:color w:val="0563C1"/>
              </w:rPr>
              <w:t>Governmental Approvals; No Conflicts</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118</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3.04</w:t>
            </w:r>
          </w:p>
        </w:tc>
        <w:tc>
          <w:tcPr>
            <w:tcW w:w="220" w:type="dxa"/>
            <w:vAlign w:val="bottom"/>
          </w:tcPr>
          <w:p>
            <w:pPr>
              <w:spacing w:after="0"/>
              <w:rPr>
                <w:sz w:val="21"/>
                <w:szCs w:val="21"/>
                <w:color w:val="auto"/>
              </w:rPr>
            </w:pPr>
          </w:p>
        </w:tc>
        <w:tc>
          <w:tcPr>
            <w:tcW w:w="4580" w:type="dxa"/>
            <w:vAlign w:val="bottom"/>
            <w:gridSpan w:val="35"/>
          </w:tcPr>
          <w:p>
            <w:pPr>
              <w:ind w:left="20"/>
              <w:spacing w:after="0" w:line="250" w:lineRule="exact"/>
              <w:rPr>
                <w:sz w:val="20"/>
                <w:szCs w:val="20"/>
                <w:color w:val="auto"/>
              </w:rPr>
            </w:pPr>
            <w:r>
              <w:rPr>
                <w:rFonts w:ascii="Times New Roman" w:cs="Times New Roman" w:eastAsia="Times New Roman" w:hAnsi="Times New Roman"/>
                <w:sz w:val="22"/>
                <w:szCs w:val="22"/>
                <w:color w:val="0563C1"/>
              </w:rPr>
              <w:t>Financial Condition; No Material Adverse Change</w:t>
            </w:r>
          </w:p>
        </w:tc>
        <w:tc>
          <w:tcPr>
            <w:tcW w:w="720" w:type="dxa"/>
            <w:vAlign w:val="bottom"/>
          </w:tcPr>
          <w:p>
            <w:pPr>
              <w:jc w:val="right"/>
              <w:ind w:right="272"/>
              <w:spacing w:after="0" w:line="250" w:lineRule="exact"/>
              <w:rPr>
                <w:sz w:val="20"/>
                <w:szCs w:val="20"/>
                <w:color w:val="auto"/>
              </w:rPr>
            </w:pPr>
            <w:r>
              <w:rPr>
                <w:rFonts w:ascii="Times New Roman" w:cs="Times New Roman" w:eastAsia="Times New Roman" w:hAnsi="Times New Roman"/>
                <w:sz w:val="22"/>
                <w:szCs w:val="22"/>
                <w:color w:val="auto"/>
                <w:w w:val="96"/>
              </w:rPr>
              <w:t>118</w:t>
            </w: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3.05</w:t>
            </w:r>
          </w:p>
        </w:tc>
        <w:tc>
          <w:tcPr>
            <w:tcW w:w="220" w:type="dxa"/>
            <w:vAlign w:val="bottom"/>
          </w:tcPr>
          <w:p>
            <w:pPr>
              <w:spacing w:after="0"/>
              <w:rPr>
                <w:sz w:val="20"/>
                <w:szCs w:val="20"/>
                <w:color w:val="auto"/>
              </w:rPr>
            </w:pPr>
          </w:p>
        </w:tc>
        <w:tc>
          <w:tcPr>
            <w:tcW w:w="1040" w:type="dxa"/>
            <w:vAlign w:val="bottom"/>
            <w:gridSpan w:val="8"/>
          </w:tcPr>
          <w:p>
            <w:pPr>
              <w:ind w:left="20"/>
              <w:spacing w:after="0" w:line="237" w:lineRule="exact"/>
              <w:rPr>
                <w:sz w:val="20"/>
                <w:szCs w:val="20"/>
                <w:color w:val="auto"/>
              </w:rPr>
            </w:pPr>
            <w:r>
              <w:rPr>
                <w:rFonts w:ascii="Times New Roman" w:cs="Times New Roman" w:eastAsia="Times New Roman" w:hAnsi="Times New Roman"/>
                <w:sz w:val="22"/>
                <w:szCs w:val="22"/>
                <w:color w:val="0563C1"/>
              </w:rPr>
              <w:t>Properties</w:t>
            </w:r>
          </w:p>
        </w:tc>
        <w:tc>
          <w:tcPr>
            <w:tcW w:w="520" w:type="dxa"/>
            <w:vAlign w:val="bottom"/>
            <w:gridSpan w:val="5"/>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118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3.06</w:t>
            </w:r>
          </w:p>
        </w:tc>
        <w:tc>
          <w:tcPr>
            <w:tcW w:w="220" w:type="dxa"/>
            <w:vAlign w:val="bottom"/>
          </w:tcPr>
          <w:p>
            <w:pPr>
              <w:spacing w:after="0"/>
              <w:rPr>
                <w:sz w:val="21"/>
                <w:szCs w:val="21"/>
                <w:color w:val="auto"/>
              </w:rPr>
            </w:pPr>
          </w:p>
        </w:tc>
        <w:tc>
          <w:tcPr>
            <w:tcW w:w="3360" w:type="dxa"/>
            <w:vAlign w:val="bottom"/>
            <w:gridSpan w:val="28"/>
          </w:tcPr>
          <w:p>
            <w:pPr>
              <w:ind w:left="20"/>
              <w:spacing w:after="0" w:line="250" w:lineRule="exact"/>
              <w:rPr>
                <w:sz w:val="20"/>
                <w:szCs w:val="20"/>
                <w:color w:val="auto"/>
              </w:rPr>
            </w:pPr>
            <w:r>
              <w:rPr>
                <w:rFonts w:ascii="Times New Roman" w:cs="Times New Roman" w:eastAsia="Times New Roman" w:hAnsi="Times New Roman"/>
                <w:sz w:val="22"/>
                <w:szCs w:val="22"/>
                <w:color w:val="0563C1"/>
                <w:w w:val="99"/>
              </w:rPr>
              <w:t>Litigation and Environmental Matters</w:t>
            </w:r>
          </w:p>
        </w:tc>
        <w:tc>
          <w:tcPr>
            <w:tcW w:w="4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119</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3.07</w:t>
            </w:r>
          </w:p>
        </w:tc>
        <w:tc>
          <w:tcPr>
            <w:tcW w:w="220" w:type="dxa"/>
            <w:vAlign w:val="bottom"/>
          </w:tcPr>
          <w:p>
            <w:pPr>
              <w:spacing w:after="0"/>
              <w:rPr>
                <w:sz w:val="20"/>
                <w:szCs w:val="20"/>
                <w:color w:val="auto"/>
              </w:rPr>
            </w:pPr>
          </w:p>
        </w:tc>
        <w:tc>
          <w:tcPr>
            <w:tcW w:w="3540" w:type="dxa"/>
            <w:vAlign w:val="bottom"/>
            <w:gridSpan w:val="31"/>
          </w:tcPr>
          <w:p>
            <w:pPr>
              <w:ind w:left="20"/>
              <w:spacing w:after="0" w:line="237" w:lineRule="exact"/>
              <w:rPr>
                <w:sz w:val="20"/>
                <w:szCs w:val="20"/>
                <w:color w:val="auto"/>
              </w:rPr>
            </w:pPr>
            <w:r>
              <w:rPr>
                <w:rFonts w:ascii="Times New Roman" w:cs="Times New Roman" w:eastAsia="Times New Roman" w:hAnsi="Times New Roman"/>
                <w:sz w:val="22"/>
                <w:szCs w:val="22"/>
                <w:color w:val="0563C1"/>
                <w:w w:val="99"/>
              </w:rPr>
              <w:t>Compliance with Laws and Agreements</w:t>
            </w:r>
          </w:p>
        </w:tc>
        <w:tc>
          <w:tcPr>
            <w:tcW w:w="840" w:type="dxa"/>
            <w:vAlign w:val="bottom"/>
            <w:gridSpan w:val="2"/>
          </w:tcPr>
          <w:p>
            <w:pPr>
              <w:jc w:val="right"/>
              <w:ind w:right="360"/>
              <w:spacing w:after="0" w:line="237" w:lineRule="exact"/>
              <w:rPr>
                <w:sz w:val="20"/>
                <w:szCs w:val="20"/>
                <w:color w:val="auto"/>
              </w:rPr>
            </w:pPr>
            <w:r>
              <w:rPr>
                <w:rFonts w:ascii="Times New Roman" w:cs="Times New Roman" w:eastAsia="Times New Roman" w:hAnsi="Times New Roman"/>
                <w:sz w:val="22"/>
                <w:szCs w:val="22"/>
                <w:color w:val="auto"/>
              </w:rPr>
              <w:t>119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3.08</w:t>
            </w:r>
          </w:p>
        </w:tc>
        <w:tc>
          <w:tcPr>
            <w:tcW w:w="220" w:type="dxa"/>
            <w:vAlign w:val="bottom"/>
          </w:tcPr>
          <w:p>
            <w:pPr>
              <w:spacing w:after="0"/>
              <w:rPr>
                <w:sz w:val="21"/>
                <w:szCs w:val="21"/>
                <w:color w:val="auto"/>
              </w:rPr>
            </w:pPr>
          </w:p>
        </w:tc>
        <w:tc>
          <w:tcPr>
            <w:tcW w:w="26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rPr>
              <w:t>Investment Company Status</w:t>
            </w:r>
          </w:p>
        </w:tc>
        <w:tc>
          <w:tcPr>
            <w:tcW w:w="520" w:type="dxa"/>
            <w:vAlign w:val="bottom"/>
            <w:gridSpan w:val="2"/>
          </w:tcPr>
          <w:p>
            <w:pPr>
              <w:jc w:val="right"/>
              <w:ind w:right="200"/>
              <w:spacing w:after="0" w:line="250" w:lineRule="exact"/>
              <w:rPr>
                <w:sz w:val="20"/>
                <w:szCs w:val="20"/>
                <w:color w:val="auto"/>
              </w:rPr>
            </w:pPr>
            <w:r>
              <w:rPr>
                <w:rFonts w:ascii="Times New Roman" w:cs="Times New Roman" w:eastAsia="Times New Roman" w:hAnsi="Times New Roman"/>
                <w:sz w:val="22"/>
                <w:szCs w:val="22"/>
                <w:color w:val="auto"/>
                <w:w w:val="90"/>
              </w:rPr>
              <w:t>119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3.09</w:t>
            </w:r>
          </w:p>
        </w:tc>
        <w:tc>
          <w:tcPr>
            <w:tcW w:w="220" w:type="dxa"/>
            <w:vAlign w:val="bottom"/>
          </w:tcPr>
          <w:p>
            <w:pPr>
              <w:spacing w:after="0"/>
              <w:rPr>
                <w:sz w:val="21"/>
                <w:szCs w:val="21"/>
                <w:color w:val="auto"/>
              </w:rPr>
            </w:pPr>
          </w:p>
        </w:tc>
        <w:tc>
          <w:tcPr>
            <w:tcW w:w="70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0563C1"/>
              </w:rPr>
              <w:t>Taxes</w:t>
            </w:r>
          </w:p>
        </w:tc>
        <w:tc>
          <w:tcPr>
            <w:tcW w:w="44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119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3.10</w:t>
            </w:r>
          </w:p>
        </w:tc>
        <w:tc>
          <w:tcPr>
            <w:tcW w:w="220" w:type="dxa"/>
            <w:vAlign w:val="bottom"/>
          </w:tcPr>
          <w:p>
            <w:pPr>
              <w:spacing w:after="0"/>
              <w:rPr>
                <w:sz w:val="20"/>
                <w:szCs w:val="20"/>
                <w:color w:val="auto"/>
              </w:rPr>
            </w:pPr>
          </w:p>
        </w:tc>
        <w:tc>
          <w:tcPr>
            <w:tcW w:w="2140" w:type="dxa"/>
            <w:vAlign w:val="bottom"/>
            <w:gridSpan w:val="20"/>
          </w:tcPr>
          <w:p>
            <w:pPr>
              <w:ind w:left="20"/>
              <w:spacing w:after="0" w:line="237" w:lineRule="exact"/>
              <w:rPr>
                <w:sz w:val="20"/>
                <w:szCs w:val="20"/>
                <w:color w:val="auto"/>
              </w:rPr>
            </w:pPr>
            <w:r>
              <w:rPr>
                <w:rFonts w:ascii="Times New Roman" w:cs="Times New Roman" w:eastAsia="Times New Roman" w:hAnsi="Times New Roman"/>
                <w:sz w:val="22"/>
                <w:szCs w:val="22"/>
                <w:color w:val="0563C1"/>
              </w:rPr>
              <w:t>ERISA / Pension Plans</w:t>
            </w:r>
          </w:p>
        </w:tc>
        <w:tc>
          <w:tcPr>
            <w:tcW w:w="5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119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3.11</w:t>
            </w:r>
          </w:p>
        </w:tc>
        <w:tc>
          <w:tcPr>
            <w:tcW w:w="1260" w:type="dxa"/>
            <w:vAlign w:val="bottom"/>
            <w:gridSpan w:val="9"/>
          </w:tcPr>
          <w:p>
            <w:pPr>
              <w:ind w:left="220"/>
              <w:spacing w:after="0" w:line="250" w:lineRule="exact"/>
              <w:rPr>
                <w:sz w:val="20"/>
                <w:szCs w:val="20"/>
                <w:color w:val="auto"/>
              </w:rPr>
            </w:pPr>
            <w:r>
              <w:rPr>
                <w:rFonts w:ascii="Times New Roman" w:cs="Times New Roman" w:eastAsia="Times New Roman" w:hAnsi="Times New Roman"/>
                <w:sz w:val="22"/>
                <w:szCs w:val="22"/>
                <w:color w:val="0563C1"/>
              </w:rPr>
              <w:t>Disclosure</w:t>
            </w:r>
          </w:p>
        </w:tc>
        <w:tc>
          <w:tcPr>
            <w:tcW w:w="5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120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3.12</w:t>
            </w:r>
          </w:p>
        </w:tc>
        <w:tc>
          <w:tcPr>
            <w:tcW w:w="220" w:type="dxa"/>
            <w:vAlign w:val="bottom"/>
          </w:tcPr>
          <w:p>
            <w:pPr>
              <w:spacing w:after="0"/>
              <w:rPr>
                <w:sz w:val="20"/>
                <w:szCs w:val="20"/>
                <w:color w:val="auto"/>
              </w:rPr>
            </w:pPr>
          </w:p>
        </w:tc>
        <w:tc>
          <w:tcPr>
            <w:tcW w:w="1040" w:type="dxa"/>
            <w:vAlign w:val="bottom"/>
            <w:gridSpan w:val="8"/>
          </w:tcPr>
          <w:p>
            <w:pPr>
              <w:ind w:left="20"/>
              <w:spacing w:after="0" w:line="237" w:lineRule="exact"/>
              <w:rPr>
                <w:sz w:val="20"/>
                <w:szCs w:val="20"/>
                <w:color w:val="auto"/>
              </w:rPr>
            </w:pPr>
            <w:r>
              <w:rPr>
                <w:rFonts w:ascii="Times New Roman" w:cs="Times New Roman" w:eastAsia="Times New Roman" w:hAnsi="Times New Roman"/>
                <w:sz w:val="22"/>
                <w:szCs w:val="22"/>
                <w:color w:val="0563C1"/>
              </w:rPr>
              <w:t>Solvency</w:t>
            </w:r>
          </w:p>
        </w:tc>
        <w:tc>
          <w:tcPr>
            <w:tcW w:w="3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120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3.13</w:t>
            </w:r>
          </w:p>
        </w:tc>
        <w:tc>
          <w:tcPr>
            <w:tcW w:w="220" w:type="dxa"/>
            <w:vAlign w:val="bottom"/>
          </w:tcPr>
          <w:p>
            <w:pPr>
              <w:spacing w:after="0"/>
              <w:rPr>
                <w:sz w:val="21"/>
                <w:szCs w:val="21"/>
                <w:color w:val="auto"/>
              </w:rPr>
            </w:pPr>
          </w:p>
        </w:tc>
        <w:tc>
          <w:tcPr>
            <w:tcW w:w="26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rPr>
              <w:t>Outbound Investment Rules</w:t>
            </w:r>
          </w:p>
        </w:tc>
        <w:tc>
          <w:tcPr>
            <w:tcW w:w="520" w:type="dxa"/>
            <w:vAlign w:val="bottom"/>
            <w:gridSpan w:val="2"/>
          </w:tcPr>
          <w:p>
            <w:pPr>
              <w:jc w:val="right"/>
              <w:ind w:right="200"/>
              <w:spacing w:after="0" w:line="250" w:lineRule="exact"/>
              <w:rPr>
                <w:sz w:val="20"/>
                <w:szCs w:val="20"/>
                <w:color w:val="auto"/>
              </w:rPr>
            </w:pPr>
            <w:r>
              <w:rPr>
                <w:rFonts w:ascii="Times New Roman" w:cs="Times New Roman" w:eastAsia="Times New Roman" w:hAnsi="Times New Roman"/>
                <w:sz w:val="22"/>
                <w:szCs w:val="22"/>
                <w:color w:val="auto"/>
                <w:w w:val="90"/>
              </w:rPr>
              <w:t>121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3.14</w:t>
            </w:r>
          </w:p>
        </w:tc>
        <w:tc>
          <w:tcPr>
            <w:tcW w:w="220" w:type="dxa"/>
            <w:vAlign w:val="bottom"/>
          </w:tcPr>
          <w:p>
            <w:pPr>
              <w:spacing w:after="0"/>
              <w:rPr>
                <w:sz w:val="21"/>
                <w:szCs w:val="21"/>
                <w:color w:val="auto"/>
              </w:rPr>
            </w:pPr>
          </w:p>
        </w:tc>
        <w:tc>
          <w:tcPr>
            <w:tcW w:w="1360" w:type="dxa"/>
            <w:vAlign w:val="bottom"/>
            <w:gridSpan w:val="12"/>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Labor Disputes</w:t>
            </w:r>
          </w:p>
        </w:tc>
        <w:tc>
          <w:tcPr>
            <w:tcW w:w="580" w:type="dxa"/>
            <w:vAlign w:val="bottom"/>
            <w:gridSpan w:val="5"/>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121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3.15</w:t>
            </w:r>
          </w:p>
        </w:tc>
        <w:tc>
          <w:tcPr>
            <w:tcW w:w="220" w:type="dxa"/>
            <w:vAlign w:val="bottom"/>
          </w:tcPr>
          <w:p>
            <w:pPr>
              <w:spacing w:after="0"/>
              <w:rPr>
                <w:sz w:val="20"/>
                <w:szCs w:val="20"/>
                <w:color w:val="auto"/>
              </w:rPr>
            </w:pPr>
          </w:p>
        </w:tc>
        <w:tc>
          <w:tcPr>
            <w:tcW w:w="1040" w:type="dxa"/>
            <w:vAlign w:val="bottom"/>
            <w:gridSpan w:val="8"/>
          </w:tcPr>
          <w:p>
            <w:pPr>
              <w:ind w:left="20"/>
              <w:spacing w:after="0" w:line="237" w:lineRule="exact"/>
              <w:rPr>
                <w:sz w:val="20"/>
                <w:szCs w:val="20"/>
                <w:color w:val="auto"/>
              </w:rPr>
            </w:pPr>
            <w:r>
              <w:rPr>
                <w:rFonts w:ascii="Times New Roman" w:cs="Times New Roman" w:eastAsia="Times New Roman" w:hAnsi="Times New Roman"/>
                <w:sz w:val="22"/>
                <w:szCs w:val="22"/>
                <w:color w:val="0563C1"/>
              </w:rPr>
              <w:t>No Default</w:t>
            </w:r>
          </w:p>
        </w:tc>
        <w:tc>
          <w:tcPr>
            <w:tcW w:w="5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121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3.16</w:t>
            </w:r>
          </w:p>
        </w:tc>
        <w:tc>
          <w:tcPr>
            <w:tcW w:w="220" w:type="dxa"/>
            <w:vAlign w:val="bottom"/>
          </w:tcPr>
          <w:p>
            <w:pPr>
              <w:spacing w:after="0"/>
              <w:rPr>
                <w:sz w:val="21"/>
                <w:szCs w:val="21"/>
                <w:color w:val="auto"/>
              </w:rPr>
            </w:pPr>
          </w:p>
        </w:tc>
        <w:tc>
          <w:tcPr>
            <w:tcW w:w="26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rPr>
              <w:t>Federal Reserve Regulations</w:t>
            </w:r>
          </w:p>
        </w:tc>
        <w:tc>
          <w:tcPr>
            <w:tcW w:w="520" w:type="dxa"/>
            <w:vAlign w:val="bottom"/>
            <w:gridSpan w:val="2"/>
          </w:tcPr>
          <w:p>
            <w:pPr>
              <w:jc w:val="right"/>
              <w:ind w:right="140"/>
              <w:spacing w:after="0" w:line="250" w:lineRule="exact"/>
              <w:rPr>
                <w:sz w:val="20"/>
                <w:szCs w:val="20"/>
                <w:color w:val="auto"/>
              </w:rPr>
            </w:pPr>
            <w:r>
              <w:rPr>
                <w:rFonts w:ascii="Times New Roman" w:cs="Times New Roman" w:eastAsia="Times New Roman" w:hAnsi="Times New Roman"/>
                <w:sz w:val="22"/>
                <w:szCs w:val="22"/>
                <w:color w:val="auto"/>
              </w:rPr>
              <w:t>121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3.17</w:t>
            </w:r>
          </w:p>
        </w:tc>
        <w:tc>
          <w:tcPr>
            <w:tcW w:w="220" w:type="dxa"/>
            <w:vAlign w:val="bottom"/>
          </w:tcPr>
          <w:p>
            <w:pPr>
              <w:spacing w:after="0"/>
              <w:rPr>
                <w:sz w:val="20"/>
                <w:szCs w:val="20"/>
                <w:color w:val="auto"/>
              </w:rPr>
            </w:pPr>
          </w:p>
        </w:tc>
        <w:tc>
          <w:tcPr>
            <w:tcW w:w="1680" w:type="dxa"/>
            <w:vAlign w:val="bottom"/>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563C1"/>
                <w:w w:val="99"/>
              </w:rPr>
              <w:t>Subordinated Debt</w:t>
            </w:r>
          </w:p>
        </w:tc>
        <w:tc>
          <w:tcPr>
            <w:tcW w:w="660" w:type="dxa"/>
            <w:vAlign w:val="bottom"/>
            <w:gridSpan w:val="6"/>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3.18</w:t>
            </w:r>
          </w:p>
        </w:tc>
        <w:tc>
          <w:tcPr>
            <w:tcW w:w="220" w:type="dxa"/>
            <w:vAlign w:val="bottom"/>
          </w:tcPr>
          <w:p>
            <w:pPr>
              <w:spacing w:after="0"/>
              <w:rPr>
                <w:sz w:val="21"/>
                <w:szCs w:val="21"/>
                <w:color w:val="auto"/>
              </w:rPr>
            </w:pPr>
          </w:p>
        </w:tc>
        <w:tc>
          <w:tcPr>
            <w:tcW w:w="3360" w:type="dxa"/>
            <w:vAlign w:val="bottom"/>
            <w:gridSpan w:val="28"/>
          </w:tcPr>
          <w:p>
            <w:pPr>
              <w:ind w:left="20"/>
              <w:spacing w:after="0" w:line="250" w:lineRule="exact"/>
              <w:rPr>
                <w:sz w:val="20"/>
                <w:szCs w:val="20"/>
                <w:color w:val="auto"/>
              </w:rPr>
            </w:pPr>
            <w:r>
              <w:rPr>
                <w:rFonts w:ascii="Times New Roman" w:cs="Times New Roman" w:eastAsia="Times New Roman" w:hAnsi="Times New Roman"/>
                <w:sz w:val="22"/>
                <w:szCs w:val="22"/>
                <w:color w:val="0563C1"/>
              </w:rPr>
              <w:t>Anti-Corruption Laws and Sanctions</w:t>
            </w:r>
          </w:p>
        </w:tc>
        <w:tc>
          <w:tcPr>
            <w:tcW w:w="4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121</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3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3.19</w:t>
            </w:r>
          </w:p>
        </w:tc>
        <w:tc>
          <w:tcPr>
            <w:tcW w:w="220" w:type="dxa"/>
            <w:vAlign w:val="bottom"/>
          </w:tcPr>
          <w:p>
            <w:pPr>
              <w:spacing w:after="0"/>
              <w:rPr>
                <w:sz w:val="21"/>
                <w:szCs w:val="21"/>
                <w:color w:val="auto"/>
              </w:rPr>
            </w:pPr>
          </w:p>
        </w:tc>
        <w:tc>
          <w:tcPr>
            <w:tcW w:w="26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Affected Financial Institutions</w:t>
            </w:r>
          </w:p>
        </w:tc>
        <w:tc>
          <w:tcPr>
            <w:tcW w:w="5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32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3.20</w:t>
            </w:r>
          </w:p>
        </w:tc>
        <w:tc>
          <w:tcPr>
            <w:tcW w:w="220" w:type="dxa"/>
            <w:vAlign w:val="bottom"/>
          </w:tcPr>
          <w:p>
            <w:pPr>
              <w:spacing w:after="0"/>
              <w:rPr>
                <w:sz w:val="20"/>
                <w:szCs w:val="20"/>
                <w:color w:val="auto"/>
              </w:rPr>
            </w:pPr>
          </w:p>
        </w:tc>
        <w:tc>
          <w:tcPr>
            <w:tcW w:w="4580" w:type="dxa"/>
            <w:vAlign w:val="bottom"/>
            <w:gridSpan w:val="35"/>
          </w:tcPr>
          <w:p>
            <w:pPr>
              <w:ind w:left="20"/>
              <w:spacing w:after="0" w:line="237" w:lineRule="exact"/>
              <w:rPr>
                <w:sz w:val="20"/>
                <w:szCs w:val="20"/>
                <w:color w:val="auto"/>
              </w:rPr>
            </w:pPr>
            <w:r>
              <w:rPr>
                <w:rFonts w:ascii="Times New Roman" w:cs="Times New Roman" w:eastAsia="Times New Roman" w:hAnsi="Times New Roman"/>
                <w:sz w:val="22"/>
                <w:szCs w:val="22"/>
                <w:color w:val="0563C1"/>
                <w:w w:val="98"/>
              </w:rPr>
              <w:t>Representations as to Foreign Subsidiary Borrowers</w:t>
            </w:r>
          </w:p>
        </w:tc>
        <w:tc>
          <w:tcPr>
            <w:tcW w:w="720" w:type="dxa"/>
            <w:vAlign w:val="bottom"/>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122</w:t>
            </w: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3.21</w:t>
            </w:r>
          </w:p>
        </w:tc>
        <w:tc>
          <w:tcPr>
            <w:tcW w:w="220" w:type="dxa"/>
            <w:vAlign w:val="bottom"/>
          </w:tcPr>
          <w:p>
            <w:pPr>
              <w:spacing w:after="0"/>
              <w:rPr>
                <w:sz w:val="21"/>
                <w:szCs w:val="21"/>
                <w:color w:val="auto"/>
              </w:rPr>
            </w:pPr>
          </w:p>
        </w:tc>
        <w:tc>
          <w:tcPr>
            <w:tcW w:w="3360" w:type="dxa"/>
            <w:vAlign w:val="bottom"/>
            <w:gridSpan w:val="28"/>
          </w:tcPr>
          <w:p>
            <w:pPr>
              <w:ind w:left="20"/>
              <w:spacing w:after="0" w:line="250" w:lineRule="exact"/>
              <w:rPr>
                <w:sz w:val="20"/>
                <w:szCs w:val="20"/>
                <w:color w:val="auto"/>
              </w:rPr>
            </w:pPr>
            <w:r>
              <w:rPr>
                <w:rFonts w:ascii="Times New Roman" w:cs="Times New Roman" w:eastAsia="Times New Roman" w:hAnsi="Times New Roman"/>
                <w:sz w:val="22"/>
                <w:szCs w:val="22"/>
                <w:color w:val="0563C1"/>
              </w:rPr>
              <w:t>Plan Assets; Prohibited Transactions</w:t>
            </w:r>
          </w:p>
        </w:tc>
        <w:tc>
          <w:tcPr>
            <w:tcW w:w="4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123</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3.22</w:t>
            </w:r>
          </w:p>
        </w:tc>
        <w:tc>
          <w:tcPr>
            <w:tcW w:w="220" w:type="dxa"/>
            <w:vAlign w:val="bottom"/>
          </w:tcPr>
          <w:p>
            <w:pPr>
              <w:spacing w:after="0"/>
              <w:rPr>
                <w:sz w:val="20"/>
                <w:szCs w:val="20"/>
                <w:color w:val="auto"/>
              </w:rPr>
            </w:pPr>
          </w:p>
        </w:tc>
        <w:tc>
          <w:tcPr>
            <w:tcW w:w="4580" w:type="dxa"/>
            <w:vAlign w:val="bottom"/>
            <w:gridSpan w:val="35"/>
          </w:tcPr>
          <w:p>
            <w:pPr>
              <w:ind w:left="20"/>
              <w:spacing w:after="0" w:line="237" w:lineRule="exact"/>
              <w:rPr>
                <w:sz w:val="20"/>
                <w:szCs w:val="20"/>
                <w:color w:val="auto"/>
              </w:rPr>
            </w:pPr>
            <w:r>
              <w:rPr>
                <w:rFonts w:ascii="Times New Roman" w:cs="Times New Roman" w:eastAsia="Times New Roman" w:hAnsi="Times New Roman"/>
                <w:sz w:val="22"/>
                <w:szCs w:val="22"/>
                <w:color w:val="0563C1"/>
              </w:rPr>
              <w:t xml:space="preserve">Regulatory Solvency and Capital Resources  </w:t>
            </w:r>
            <w:r>
              <w:rPr>
                <w:rFonts w:ascii="Times New Roman" w:cs="Times New Roman" w:eastAsia="Times New Roman" w:hAnsi="Times New Roman"/>
                <w:sz w:val="22"/>
                <w:szCs w:val="22"/>
                <w:color w:val="000000"/>
              </w:rPr>
              <w:t>123</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3.23</w:t>
            </w:r>
          </w:p>
        </w:tc>
        <w:tc>
          <w:tcPr>
            <w:tcW w:w="220" w:type="dxa"/>
            <w:vAlign w:val="bottom"/>
          </w:tcPr>
          <w:p>
            <w:pPr>
              <w:spacing w:after="0"/>
              <w:rPr>
                <w:sz w:val="21"/>
                <w:szCs w:val="21"/>
                <w:color w:val="auto"/>
              </w:rPr>
            </w:pPr>
          </w:p>
        </w:tc>
        <w:tc>
          <w:tcPr>
            <w:tcW w:w="1680" w:type="dxa"/>
            <w:vAlign w:val="bottom"/>
            <w:gridSpan w:val="15"/>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Insurance Licenses</w:t>
            </w:r>
          </w:p>
        </w:tc>
        <w:tc>
          <w:tcPr>
            <w:tcW w:w="660" w:type="dxa"/>
            <w:vAlign w:val="bottom"/>
            <w:gridSpan w:val="6"/>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58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22"/>
                <w:szCs w:val="22"/>
                <w:color w:val="0563C1"/>
                <w:w w:val="95"/>
              </w:rPr>
              <w:t>ARTICLE IV. CONDITIONS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22"/>
                <w:szCs w:val="22"/>
                <w:color w:val="auto"/>
              </w:rPr>
              <w:t>124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4.01</w:t>
            </w:r>
          </w:p>
        </w:tc>
        <w:tc>
          <w:tcPr>
            <w:tcW w:w="220" w:type="dxa"/>
            <w:vAlign w:val="bottom"/>
          </w:tcPr>
          <w:p>
            <w:pPr>
              <w:spacing w:after="0"/>
              <w:rPr>
                <w:sz w:val="21"/>
                <w:szCs w:val="21"/>
                <w:color w:val="auto"/>
              </w:rPr>
            </w:pPr>
          </w:p>
        </w:tc>
        <w:tc>
          <w:tcPr>
            <w:tcW w:w="1360" w:type="dxa"/>
            <w:vAlign w:val="bottom"/>
            <w:gridSpan w:val="12"/>
          </w:tcPr>
          <w:p>
            <w:pPr>
              <w:ind w:left="20"/>
              <w:spacing w:after="0" w:line="250" w:lineRule="exact"/>
              <w:rPr>
                <w:sz w:val="20"/>
                <w:szCs w:val="20"/>
                <w:color w:val="auto"/>
              </w:rPr>
            </w:pPr>
            <w:r>
              <w:rPr>
                <w:rFonts w:ascii="Times New Roman" w:cs="Times New Roman" w:eastAsia="Times New Roman" w:hAnsi="Times New Roman"/>
                <w:sz w:val="22"/>
                <w:szCs w:val="22"/>
                <w:color w:val="0563C1"/>
              </w:rPr>
              <w:t>Effective Date</w:t>
            </w:r>
          </w:p>
        </w:tc>
        <w:tc>
          <w:tcPr>
            <w:tcW w:w="4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124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4.02</w:t>
            </w:r>
          </w:p>
        </w:tc>
        <w:tc>
          <w:tcPr>
            <w:tcW w:w="220" w:type="dxa"/>
            <w:vAlign w:val="bottom"/>
          </w:tcPr>
          <w:p>
            <w:pPr>
              <w:spacing w:after="0"/>
              <w:rPr>
                <w:sz w:val="20"/>
                <w:szCs w:val="20"/>
                <w:color w:val="auto"/>
              </w:rPr>
            </w:pPr>
          </w:p>
        </w:tc>
        <w:tc>
          <w:tcPr>
            <w:tcW w:w="1680" w:type="dxa"/>
            <w:vAlign w:val="bottom"/>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563C1"/>
              </w:rPr>
              <w:t>Each Credit Event</w:t>
            </w:r>
          </w:p>
        </w:tc>
        <w:tc>
          <w:tcPr>
            <w:tcW w:w="46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125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4020" w:type="dxa"/>
            <w:vAlign w:val="bottom"/>
            <w:gridSpan w:val="23"/>
          </w:tcPr>
          <w:p>
            <w:pPr>
              <w:spacing w:after="0"/>
              <w:rPr>
                <w:sz w:val="20"/>
                <w:szCs w:val="20"/>
                <w:color w:val="auto"/>
              </w:rPr>
            </w:pPr>
            <w:r>
              <w:rPr>
                <w:rFonts w:ascii="Times New Roman" w:cs="Times New Roman" w:eastAsia="Times New Roman" w:hAnsi="Times New Roman"/>
                <w:sz w:val="22"/>
                <w:szCs w:val="22"/>
                <w:color w:val="0563C1"/>
                <w:w w:val="97"/>
              </w:rPr>
              <w:t>ARTICLE V. AFFIRMATIVE COVENANTS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5.01</w:t>
            </w:r>
          </w:p>
        </w:tc>
        <w:tc>
          <w:tcPr>
            <w:tcW w:w="220" w:type="dxa"/>
            <w:vAlign w:val="bottom"/>
          </w:tcPr>
          <w:p>
            <w:pPr>
              <w:spacing w:after="0"/>
              <w:rPr>
                <w:sz w:val="20"/>
                <w:szCs w:val="20"/>
                <w:color w:val="auto"/>
              </w:rPr>
            </w:pPr>
          </w:p>
        </w:tc>
        <w:tc>
          <w:tcPr>
            <w:tcW w:w="5840" w:type="dxa"/>
            <w:vAlign w:val="bottom"/>
            <w:gridSpan w:val="37"/>
          </w:tcPr>
          <w:p>
            <w:pPr>
              <w:ind w:left="20"/>
              <w:spacing w:after="0" w:line="237" w:lineRule="exact"/>
              <w:rPr>
                <w:sz w:val="20"/>
                <w:szCs w:val="20"/>
                <w:color w:val="auto"/>
              </w:rPr>
            </w:pPr>
            <w:r>
              <w:rPr>
                <w:rFonts w:ascii="Times New Roman" w:cs="Times New Roman" w:eastAsia="Times New Roman" w:hAnsi="Times New Roman"/>
                <w:sz w:val="22"/>
                <w:szCs w:val="22"/>
                <w:color w:val="0563C1"/>
                <w:w w:val="99"/>
              </w:rPr>
              <w:t xml:space="preserve">Financial Statements; Ratings Change and Other Information  </w:t>
            </w:r>
            <w:r>
              <w:rPr>
                <w:rFonts w:ascii="Times New Roman" w:cs="Times New Roman" w:eastAsia="Times New Roman" w:hAnsi="Times New Roman"/>
                <w:sz w:val="22"/>
                <w:szCs w:val="22"/>
                <w:color w:val="000000"/>
                <w:w w:val="99"/>
              </w:rPr>
              <w:t>126</w:t>
            </w: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4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5.02</w:t>
            </w:r>
          </w:p>
        </w:tc>
        <w:tc>
          <w:tcPr>
            <w:tcW w:w="220" w:type="dxa"/>
            <w:vAlign w:val="bottom"/>
          </w:tcPr>
          <w:p>
            <w:pPr>
              <w:spacing w:after="0"/>
              <w:rPr>
                <w:sz w:val="21"/>
                <w:szCs w:val="21"/>
                <w:color w:val="auto"/>
              </w:rPr>
            </w:pPr>
          </w:p>
        </w:tc>
        <w:tc>
          <w:tcPr>
            <w:tcW w:w="3360" w:type="dxa"/>
            <w:vAlign w:val="bottom"/>
            <w:gridSpan w:val="28"/>
          </w:tcPr>
          <w:p>
            <w:pPr>
              <w:ind w:left="20"/>
              <w:spacing w:after="0" w:line="250" w:lineRule="exact"/>
              <w:rPr>
                <w:sz w:val="20"/>
                <w:szCs w:val="20"/>
                <w:color w:val="auto"/>
              </w:rPr>
            </w:pPr>
            <w:r>
              <w:rPr>
                <w:rFonts w:ascii="Times New Roman" w:cs="Times New Roman" w:eastAsia="Times New Roman" w:hAnsi="Times New Roman"/>
                <w:sz w:val="22"/>
                <w:szCs w:val="22"/>
                <w:color w:val="0563C1"/>
              </w:rPr>
              <w:t xml:space="preserve">Notices of Material Events  </w:t>
            </w:r>
            <w:r>
              <w:rPr>
                <w:rFonts w:ascii="Times New Roman" w:cs="Times New Roman" w:eastAsia="Times New Roman" w:hAnsi="Times New Roman"/>
                <w:sz w:val="22"/>
                <w:szCs w:val="22"/>
                <w:color w:val="000000"/>
              </w:rPr>
              <w:t>129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5.03</w:t>
            </w:r>
          </w:p>
        </w:tc>
        <w:tc>
          <w:tcPr>
            <w:tcW w:w="220" w:type="dxa"/>
            <w:vAlign w:val="bottom"/>
          </w:tcPr>
          <w:p>
            <w:pPr>
              <w:spacing w:after="0"/>
              <w:rPr>
                <w:sz w:val="20"/>
                <w:szCs w:val="20"/>
                <w:color w:val="auto"/>
              </w:rPr>
            </w:pPr>
          </w:p>
        </w:tc>
        <w:tc>
          <w:tcPr>
            <w:tcW w:w="3360" w:type="dxa"/>
            <w:vAlign w:val="bottom"/>
            <w:gridSpan w:val="28"/>
          </w:tcPr>
          <w:p>
            <w:pPr>
              <w:ind w:left="20"/>
              <w:spacing w:after="0" w:line="237" w:lineRule="exact"/>
              <w:rPr>
                <w:sz w:val="20"/>
                <w:szCs w:val="20"/>
                <w:color w:val="auto"/>
              </w:rPr>
            </w:pPr>
            <w:r>
              <w:rPr>
                <w:rFonts w:ascii="Times New Roman" w:cs="Times New Roman" w:eastAsia="Times New Roman" w:hAnsi="Times New Roman"/>
                <w:sz w:val="22"/>
                <w:szCs w:val="22"/>
                <w:color w:val="0563C1"/>
              </w:rPr>
              <w:t xml:space="preserve">Existence; Conduct of Business  </w:t>
            </w:r>
            <w:r>
              <w:rPr>
                <w:rFonts w:ascii="Times New Roman" w:cs="Times New Roman" w:eastAsia="Times New Roman" w:hAnsi="Times New Roman"/>
                <w:sz w:val="22"/>
                <w:szCs w:val="22"/>
                <w:color w:val="000000"/>
              </w:rPr>
              <w:t>130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5.04</w:t>
            </w:r>
          </w:p>
        </w:tc>
        <w:tc>
          <w:tcPr>
            <w:tcW w:w="220" w:type="dxa"/>
            <w:vAlign w:val="bottom"/>
          </w:tcPr>
          <w:p>
            <w:pPr>
              <w:spacing w:after="0"/>
              <w:rPr>
                <w:sz w:val="21"/>
                <w:szCs w:val="21"/>
                <w:color w:val="auto"/>
              </w:rPr>
            </w:pPr>
          </w:p>
        </w:tc>
        <w:tc>
          <w:tcPr>
            <w:tcW w:w="1680" w:type="dxa"/>
            <w:vAlign w:val="bottom"/>
            <w:gridSpan w:val="15"/>
          </w:tcPr>
          <w:p>
            <w:pPr>
              <w:ind w:left="20"/>
              <w:spacing w:after="0" w:line="250" w:lineRule="exact"/>
              <w:rPr>
                <w:sz w:val="20"/>
                <w:szCs w:val="20"/>
                <w:color w:val="auto"/>
              </w:rPr>
            </w:pPr>
            <w:r>
              <w:rPr>
                <w:rFonts w:ascii="Times New Roman" w:cs="Times New Roman" w:eastAsia="Times New Roman" w:hAnsi="Times New Roman"/>
                <w:sz w:val="22"/>
                <w:szCs w:val="22"/>
                <w:color w:val="0563C1"/>
              </w:rPr>
              <w:t>Payment of Taxes</w:t>
            </w:r>
          </w:p>
        </w:tc>
        <w:tc>
          <w:tcPr>
            <w:tcW w:w="4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130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5.05</w:t>
            </w:r>
          </w:p>
        </w:tc>
        <w:tc>
          <w:tcPr>
            <w:tcW w:w="220" w:type="dxa"/>
            <w:vAlign w:val="bottom"/>
          </w:tcPr>
          <w:p>
            <w:pPr>
              <w:spacing w:after="0"/>
              <w:rPr>
                <w:sz w:val="20"/>
                <w:szCs w:val="20"/>
                <w:color w:val="auto"/>
              </w:rPr>
            </w:pPr>
          </w:p>
        </w:tc>
        <w:tc>
          <w:tcPr>
            <w:tcW w:w="3360" w:type="dxa"/>
            <w:vAlign w:val="bottom"/>
            <w:gridSpan w:val="28"/>
          </w:tcPr>
          <w:p>
            <w:pPr>
              <w:ind w:left="20"/>
              <w:spacing w:after="0" w:line="237" w:lineRule="exact"/>
              <w:rPr>
                <w:sz w:val="20"/>
                <w:szCs w:val="20"/>
                <w:color w:val="auto"/>
              </w:rPr>
            </w:pPr>
            <w:r>
              <w:rPr>
                <w:rFonts w:ascii="Times New Roman" w:cs="Times New Roman" w:eastAsia="Times New Roman" w:hAnsi="Times New Roman"/>
                <w:sz w:val="22"/>
                <w:szCs w:val="22"/>
                <w:color w:val="0563C1"/>
              </w:rPr>
              <w:t>Maintenance of Properties; Insurance</w:t>
            </w:r>
          </w:p>
        </w:tc>
        <w:tc>
          <w:tcPr>
            <w:tcW w:w="46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130</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20" w:type="dxa"/>
            <w:vAlign w:val="bottom"/>
            <w:gridSpan w:val="8"/>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5.06</w:t>
            </w:r>
          </w:p>
        </w:tc>
        <w:tc>
          <w:tcPr>
            <w:tcW w:w="220" w:type="dxa"/>
            <w:vAlign w:val="bottom"/>
          </w:tcPr>
          <w:p>
            <w:pPr>
              <w:spacing w:after="0"/>
              <w:rPr>
                <w:sz w:val="21"/>
                <w:szCs w:val="21"/>
                <w:color w:val="auto"/>
              </w:rPr>
            </w:pPr>
          </w:p>
        </w:tc>
        <w:tc>
          <w:tcPr>
            <w:tcW w:w="3360" w:type="dxa"/>
            <w:vAlign w:val="bottom"/>
            <w:gridSpan w:val="28"/>
          </w:tcPr>
          <w:p>
            <w:pPr>
              <w:ind w:left="20"/>
              <w:spacing w:after="0" w:line="250" w:lineRule="exact"/>
              <w:rPr>
                <w:sz w:val="20"/>
                <w:szCs w:val="20"/>
                <w:color w:val="auto"/>
              </w:rPr>
            </w:pPr>
            <w:r>
              <w:rPr>
                <w:rFonts w:ascii="Times New Roman" w:cs="Times New Roman" w:eastAsia="Times New Roman" w:hAnsi="Times New Roman"/>
                <w:sz w:val="22"/>
                <w:szCs w:val="22"/>
                <w:color w:val="0563C1"/>
                <w:w w:val="98"/>
              </w:rPr>
              <w:t>Books and Records; Inspection Rights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520"/>
              <w:spacing w:after="0" w:line="250" w:lineRule="exact"/>
              <w:rPr>
                <w:sz w:val="20"/>
                <w:szCs w:val="20"/>
                <w:color w:val="auto"/>
              </w:rPr>
            </w:pPr>
            <w:r>
              <w:rPr>
                <w:rFonts w:ascii="Times New Roman" w:cs="Times New Roman" w:eastAsia="Times New Roman" w:hAnsi="Times New Roman"/>
                <w:sz w:val="22"/>
                <w:szCs w:val="22"/>
                <w:color w:val="auto"/>
                <w:w w:val="90"/>
              </w:rPr>
              <w:t>130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5.07</w:t>
            </w:r>
          </w:p>
        </w:tc>
        <w:tc>
          <w:tcPr>
            <w:tcW w:w="220" w:type="dxa"/>
            <w:vAlign w:val="bottom"/>
          </w:tcPr>
          <w:p>
            <w:pPr>
              <w:spacing w:after="0"/>
              <w:rPr>
                <w:sz w:val="21"/>
                <w:szCs w:val="21"/>
                <w:color w:val="auto"/>
              </w:rPr>
            </w:pPr>
          </w:p>
        </w:tc>
        <w:tc>
          <w:tcPr>
            <w:tcW w:w="2140" w:type="dxa"/>
            <w:vAlign w:val="bottom"/>
            <w:gridSpan w:val="20"/>
          </w:tcPr>
          <w:p>
            <w:pPr>
              <w:ind w:left="20"/>
              <w:spacing w:after="0" w:line="250" w:lineRule="exact"/>
              <w:rPr>
                <w:sz w:val="20"/>
                <w:szCs w:val="20"/>
                <w:color w:val="auto"/>
              </w:rPr>
            </w:pPr>
            <w:r>
              <w:rPr>
                <w:rFonts w:ascii="Times New Roman" w:cs="Times New Roman" w:eastAsia="Times New Roman" w:hAnsi="Times New Roman"/>
                <w:sz w:val="22"/>
                <w:szCs w:val="22"/>
                <w:color w:val="0563C1"/>
              </w:rPr>
              <w:t>Compliance with Laws</w:t>
            </w:r>
          </w:p>
        </w:tc>
        <w:tc>
          <w:tcPr>
            <w:tcW w:w="52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22"/>
                <w:szCs w:val="22"/>
                <w:color w:val="auto"/>
              </w:rPr>
              <w:t>131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5.08</w:t>
            </w:r>
          </w:p>
        </w:tc>
        <w:tc>
          <w:tcPr>
            <w:tcW w:w="220" w:type="dxa"/>
            <w:vAlign w:val="bottom"/>
          </w:tcPr>
          <w:p>
            <w:pPr>
              <w:spacing w:after="0"/>
              <w:rPr>
                <w:sz w:val="20"/>
                <w:szCs w:val="20"/>
                <w:color w:val="auto"/>
              </w:rPr>
            </w:pPr>
          </w:p>
        </w:tc>
        <w:tc>
          <w:tcPr>
            <w:tcW w:w="3360" w:type="dxa"/>
            <w:vAlign w:val="bottom"/>
            <w:gridSpan w:val="28"/>
          </w:tcPr>
          <w:p>
            <w:pPr>
              <w:ind w:left="20"/>
              <w:spacing w:after="0" w:line="237" w:lineRule="exact"/>
              <w:rPr>
                <w:sz w:val="20"/>
                <w:szCs w:val="20"/>
                <w:color w:val="auto"/>
              </w:rPr>
            </w:pPr>
            <w:r>
              <w:rPr>
                <w:rFonts w:ascii="Times New Roman" w:cs="Times New Roman" w:eastAsia="Times New Roman" w:hAnsi="Times New Roman"/>
                <w:sz w:val="22"/>
                <w:szCs w:val="22"/>
                <w:color w:val="0563C1"/>
              </w:rPr>
              <w:t>Use of Proceeds and Letters of Credit</w:t>
            </w:r>
          </w:p>
        </w:tc>
        <w:tc>
          <w:tcPr>
            <w:tcW w:w="46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132</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0" w:type="dxa"/>
            <w:vAlign w:val="bottom"/>
            <w:gridSpan w:val="4"/>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5.09</w:t>
            </w:r>
          </w:p>
        </w:tc>
        <w:tc>
          <w:tcPr>
            <w:tcW w:w="220" w:type="dxa"/>
            <w:vAlign w:val="bottom"/>
          </w:tcPr>
          <w:p>
            <w:pPr>
              <w:spacing w:after="0"/>
              <w:rPr>
                <w:sz w:val="21"/>
                <w:szCs w:val="21"/>
                <w:color w:val="auto"/>
              </w:rPr>
            </w:pPr>
          </w:p>
        </w:tc>
        <w:tc>
          <w:tcPr>
            <w:tcW w:w="1680" w:type="dxa"/>
            <w:vAlign w:val="bottom"/>
            <w:gridSpan w:val="15"/>
          </w:tcPr>
          <w:p>
            <w:pPr>
              <w:ind w:left="20"/>
              <w:spacing w:after="0" w:line="250" w:lineRule="exact"/>
              <w:rPr>
                <w:sz w:val="20"/>
                <w:szCs w:val="20"/>
                <w:color w:val="auto"/>
              </w:rPr>
            </w:pPr>
            <w:r>
              <w:rPr>
                <w:rFonts w:ascii="Times New Roman" w:cs="Times New Roman" w:eastAsia="Times New Roman" w:hAnsi="Times New Roman"/>
                <w:sz w:val="22"/>
                <w:szCs w:val="22"/>
                <w:color w:val="0563C1"/>
                <w:w w:val="96"/>
              </w:rPr>
              <w:t>Further Assurances</w:t>
            </w:r>
          </w:p>
        </w:tc>
        <w:tc>
          <w:tcPr>
            <w:tcW w:w="660" w:type="dxa"/>
            <w:vAlign w:val="bottom"/>
            <w:gridSpan w:val="6"/>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5.10</w:t>
            </w:r>
          </w:p>
        </w:tc>
        <w:tc>
          <w:tcPr>
            <w:tcW w:w="220" w:type="dxa"/>
            <w:vAlign w:val="bottom"/>
          </w:tcPr>
          <w:p>
            <w:pPr>
              <w:spacing w:after="0"/>
              <w:rPr>
                <w:sz w:val="20"/>
                <w:szCs w:val="20"/>
                <w:color w:val="auto"/>
              </w:rPr>
            </w:pPr>
          </w:p>
        </w:tc>
        <w:tc>
          <w:tcPr>
            <w:tcW w:w="4580" w:type="dxa"/>
            <w:vAlign w:val="bottom"/>
            <w:gridSpan w:val="35"/>
          </w:tcPr>
          <w:p>
            <w:pPr>
              <w:ind w:left="20"/>
              <w:spacing w:after="0" w:line="237" w:lineRule="exact"/>
              <w:rPr>
                <w:sz w:val="20"/>
                <w:szCs w:val="20"/>
                <w:color w:val="auto"/>
              </w:rPr>
            </w:pPr>
            <w:r>
              <w:rPr>
                <w:rFonts w:ascii="Times New Roman" w:cs="Times New Roman" w:eastAsia="Times New Roman" w:hAnsi="Times New Roman"/>
                <w:sz w:val="22"/>
                <w:szCs w:val="22"/>
                <w:color w:val="0563C1"/>
                <w:w w:val="97"/>
              </w:rPr>
              <w:t>Change of Name or Location; Change of Fiscal Year</w:t>
            </w:r>
          </w:p>
        </w:tc>
        <w:tc>
          <w:tcPr>
            <w:tcW w:w="720" w:type="dxa"/>
            <w:vAlign w:val="bottom"/>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rPr>
              <w:t>133</w:t>
            </w: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5.11</w:t>
            </w:r>
          </w:p>
        </w:tc>
        <w:tc>
          <w:tcPr>
            <w:tcW w:w="1260" w:type="dxa"/>
            <w:vAlign w:val="bottom"/>
            <w:gridSpan w:val="9"/>
          </w:tcPr>
          <w:p>
            <w:pPr>
              <w:ind w:left="220"/>
              <w:spacing w:after="0" w:line="250" w:lineRule="exact"/>
              <w:rPr>
                <w:sz w:val="20"/>
                <w:szCs w:val="20"/>
                <w:color w:val="auto"/>
              </w:rPr>
            </w:pPr>
            <w:r>
              <w:rPr>
                <w:rFonts w:ascii="Times New Roman" w:cs="Times New Roman" w:eastAsia="Times New Roman" w:hAnsi="Times New Roman"/>
                <w:sz w:val="22"/>
                <w:szCs w:val="22"/>
                <w:color w:val="0563C1"/>
              </w:rPr>
              <w:t>[Reserved]</w:t>
            </w:r>
          </w:p>
        </w:tc>
        <w:tc>
          <w:tcPr>
            <w:tcW w:w="5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133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gridSpan w:val="5"/>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5.12</w:t>
            </w:r>
          </w:p>
        </w:tc>
        <w:tc>
          <w:tcPr>
            <w:tcW w:w="220" w:type="dxa"/>
            <w:vAlign w:val="bottom"/>
          </w:tcPr>
          <w:p>
            <w:pPr>
              <w:spacing w:after="0"/>
              <w:rPr>
                <w:sz w:val="21"/>
                <w:szCs w:val="21"/>
                <w:color w:val="auto"/>
              </w:rPr>
            </w:pPr>
          </w:p>
        </w:tc>
        <w:tc>
          <w:tcPr>
            <w:tcW w:w="3540" w:type="dxa"/>
            <w:vAlign w:val="bottom"/>
            <w:gridSpan w:val="31"/>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Designation of Unrestricted Subsidiaries</w:t>
            </w:r>
          </w:p>
        </w:tc>
        <w:tc>
          <w:tcPr>
            <w:tcW w:w="840" w:type="dxa"/>
            <w:vAlign w:val="bottom"/>
            <w:gridSpan w:val="2"/>
          </w:tcPr>
          <w:p>
            <w:pPr>
              <w:jc w:val="right"/>
              <w:ind w:right="320"/>
              <w:spacing w:after="0" w:line="250" w:lineRule="exact"/>
              <w:rPr>
                <w:sz w:val="20"/>
                <w:szCs w:val="20"/>
                <w:color w:val="auto"/>
              </w:rPr>
            </w:pPr>
            <w:r>
              <w:rPr>
                <w:rFonts w:ascii="Times New Roman" w:cs="Times New Roman" w:eastAsia="Times New Roman" w:hAnsi="Times New Roman"/>
                <w:sz w:val="22"/>
                <w:szCs w:val="22"/>
                <w:color w:val="auto"/>
              </w:rPr>
              <w:t>133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640" w:type="dxa"/>
            <w:vAlign w:val="bottom"/>
            <w:tcBorders>
              <w:left w:val="single" w:sz="8" w:color="0563C1"/>
            </w:tcBorders>
            <w:gridSpan w:val="7"/>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5.13</w:t>
            </w:r>
          </w:p>
        </w:tc>
        <w:tc>
          <w:tcPr>
            <w:tcW w:w="220" w:type="dxa"/>
            <w:vAlign w:val="bottom"/>
          </w:tcPr>
          <w:p>
            <w:pPr>
              <w:spacing w:after="0"/>
              <w:rPr>
                <w:sz w:val="20"/>
                <w:szCs w:val="20"/>
                <w:color w:val="auto"/>
              </w:rPr>
            </w:pPr>
          </w:p>
        </w:tc>
        <w:tc>
          <w:tcPr>
            <w:tcW w:w="1680" w:type="dxa"/>
            <w:vAlign w:val="bottom"/>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563C1"/>
              </w:rPr>
              <w:t>Depository Banks</w:t>
            </w:r>
          </w:p>
        </w:tc>
        <w:tc>
          <w:tcPr>
            <w:tcW w:w="460" w:type="dxa"/>
            <w:vAlign w:val="bottom"/>
            <w:gridSpan w:val="5"/>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134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640" w:type="dxa"/>
            <w:vAlign w:val="bottom"/>
            <w:tcBorders>
              <w:left w:val="single" w:sz="8" w:color="0563C1"/>
            </w:tcBorders>
            <w:gridSpan w:val="7"/>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5.14</w:t>
            </w:r>
          </w:p>
        </w:tc>
        <w:tc>
          <w:tcPr>
            <w:tcW w:w="220" w:type="dxa"/>
            <w:vAlign w:val="bottom"/>
          </w:tcPr>
          <w:p>
            <w:pPr>
              <w:spacing w:after="0"/>
              <w:rPr>
                <w:sz w:val="21"/>
                <w:szCs w:val="21"/>
                <w:color w:val="auto"/>
              </w:rPr>
            </w:pPr>
          </w:p>
        </w:tc>
        <w:tc>
          <w:tcPr>
            <w:tcW w:w="2140" w:type="dxa"/>
            <w:vAlign w:val="bottom"/>
            <w:gridSpan w:val="20"/>
          </w:tcPr>
          <w:p>
            <w:pPr>
              <w:ind w:left="20"/>
              <w:spacing w:after="0" w:line="250" w:lineRule="exact"/>
              <w:rPr>
                <w:sz w:val="20"/>
                <w:szCs w:val="20"/>
                <w:color w:val="auto"/>
              </w:rPr>
            </w:pPr>
            <w:r>
              <w:rPr>
                <w:rFonts w:ascii="Times New Roman" w:cs="Times New Roman" w:eastAsia="Times New Roman" w:hAnsi="Times New Roman"/>
                <w:sz w:val="22"/>
                <w:szCs w:val="22"/>
                <w:color w:val="0563C1"/>
              </w:rPr>
              <w:t>Anti-Corruption Laws</w:t>
            </w:r>
          </w:p>
        </w:tc>
        <w:tc>
          <w:tcPr>
            <w:tcW w:w="3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134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4540" w:type="dxa"/>
            <w:vAlign w:val="bottom"/>
            <w:gridSpan w:val="26"/>
          </w:tcPr>
          <w:p>
            <w:pPr>
              <w:spacing w:after="0"/>
              <w:rPr>
                <w:sz w:val="20"/>
                <w:szCs w:val="20"/>
                <w:color w:val="auto"/>
              </w:rPr>
            </w:pPr>
            <w:r>
              <w:rPr>
                <w:rFonts w:ascii="Times New Roman" w:cs="Times New Roman" w:eastAsia="Times New Roman" w:hAnsi="Times New Roman"/>
                <w:sz w:val="22"/>
                <w:szCs w:val="22"/>
                <w:color w:val="0563C1"/>
              </w:rPr>
              <w:t xml:space="preserve">ARTICLE VI. NEGATIVE COVENANTS  </w:t>
            </w:r>
            <w:r>
              <w:rPr>
                <w:rFonts w:ascii="Times New Roman" w:cs="Times New Roman" w:eastAsia="Times New Roman" w:hAnsi="Times New Roman"/>
                <w:sz w:val="22"/>
                <w:szCs w:val="22"/>
                <w:color w:val="000000"/>
              </w:rPr>
              <w:t>135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340" w:type="dxa"/>
            <w:vAlign w:val="bottom"/>
            <w:tcBorders>
              <w:top w:val="single" w:sz="8" w:color="0563C1"/>
            </w:tcBorders>
          </w:tcPr>
          <w:p>
            <w:pPr>
              <w:spacing w:after="0"/>
              <w:rPr>
                <w:sz w:val="21"/>
                <w:szCs w:val="21"/>
                <w:color w:val="auto"/>
              </w:rPr>
            </w:pPr>
          </w:p>
        </w:tc>
        <w:tc>
          <w:tcPr>
            <w:tcW w:w="1320" w:type="dxa"/>
            <w:vAlign w:val="bottom"/>
            <w:tcBorders>
              <w:top w:val="single" w:sz="8" w:color="0563C1"/>
            </w:tcBorders>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6.01</w:t>
            </w:r>
          </w:p>
        </w:tc>
        <w:tc>
          <w:tcPr>
            <w:tcW w:w="220" w:type="dxa"/>
            <w:vAlign w:val="bottom"/>
            <w:tcBorders>
              <w:top w:val="single" w:sz="8" w:color="0563C1"/>
            </w:tcBorders>
          </w:tcPr>
          <w:p>
            <w:pPr>
              <w:spacing w:after="0"/>
              <w:rPr>
                <w:sz w:val="21"/>
                <w:szCs w:val="21"/>
                <w:color w:val="auto"/>
              </w:rPr>
            </w:pPr>
          </w:p>
        </w:tc>
        <w:tc>
          <w:tcPr>
            <w:tcW w:w="1360" w:type="dxa"/>
            <w:vAlign w:val="bottom"/>
            <w:tcBorders>
              <w:top w:val="single" w:sz="8" w:color="0563C1"/>
            </w:tcBorders>
            <w:gridSpan w:val="12"/>
          </w:tcPr>
          <w:p>
            <w:pPr>
              <w:ind w:left="20"/>
              <w:spacing w:after="0" w:line="250" w:lineRule="exact"/>
              <w:rPr>
                <w:sz w:val="20"/>
                <w:szCs w:val="20"/>
                <w:color w:val="auto"/>
              </w:rPr>
            </w:pPr>
            <w:r>
              <w:rPr>
                <w:rFonts w:ascii="Times New Roman" w:cs="Times New Roman" w:eastAsia="Times New Roman" w:hAnsi="Times New Roman"/>
                <w:sz w:val="22"/>
                <w:szCs w:val="22"/>
                <w:color w:val="0563C1"/>
              </w:rPr>
              <w:t>Indebtedness</w:t>
            </w:r>
          </w:p>
        </w:tc>
        <w:tc>
          <w:tcPr>
            <w:tcW w:w="320" w:type="dxa"/>
            <w:vAlign w:val="bottom"/>
            <w:tcBorders>
              <w:top w:val="single" w:sz="8" w:color="0563C1"/>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135</w:t>
            </w:r>
          </w:p>
        </w:tc>
        <w:tc>
          <w:tcPr>
            <w:tcW w:w="16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5"/>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6.02</w:t>
            </w:r>
          </w:p>
        </w:tc>
        <w:tc>
          <w:tcPr>
            <w:tcW w:w="220" w:type="dxa"/>
            <w:vAlign w:val="bottom"/>
          </w:tcPr>
          <w:p>
            <w:pPr>
              <w:spacing w:after="0"/>
              <w:rPr>
                <w:sz w:val="20"/>
                <w:szCs w:val="20"/>
                <w:color w:val="auto"/>
              </w:rPr>
            </w:pPr>
          </w:p>
        </w:tc>
        <w:tc>
          <w:tcPr>
            <w:tcW w:w="700" w:type="dxa"/>
            <w:vAlign w:val="bottom"/>
            <w:gridSpan w:val="3"/>
          </w:tcPr>
          <w:p>
            <w:pPr>
              <w:ind w:left="20"/>
              <w:spacing w:after="0" w:line="237" w:lineRule="exact"/>
              <w:rPr>
                <w:sz w:val="20"/>
                <w:szCs w:val="20"/>
                <w:color w:val="auto"/>
              </w:rPr>
            </w:pPr>
            <w:r>
              <w:rPr>
                <w:rFonts w:ascii="Times New Roman" w:cs="Times New Roman" w:eastAsia="Times New Roman" w:hAnsi="Times New Roman"/>
                <w:sz w:val="22"/>
                <w:szCs w:val="22"/>
                <w:color w:val="0563C1"/>
              </w:rPr>
              <w:t>Liens</w:t>
            </w:r>
          </w:p>
        </w:tc>
        <w:tc>
          <w:tcPr>
            <w:tcW w:w="34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w w:val="96"/>
              </w:rPr>
              <w:t>138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1640" w:type="dxa"/>
            <w:vAlign w:val="bottom"/>
            <w:gridSpan w:val="1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6.03</w:t>
            </w:r>
          </w:p>
        </w:tc>
        <w:tc>
          <w:tcPr>
            <w:tcW w:w="220" w:type="dxa"/>
            <w:vAlign w:val="bottom"/>
          </w:tcPr>
          <w:p>
            <w:pPr>
              <w:spacing w:after="0"/>
              <w:rPr>
                <w:sz w:val="21"/>
                <w:szCs w:val="21"/>
                <w:color w:val="auto"/>
              </w:rPr>
            </w:pPr>
          </w:p>
        </w:tc>
        <w:tc>
          <w:tcPr>
            <w:tcW w:w="2140" w:type="dxa"/>
            <w:vAlign w:val="bottom"/>
            <w:gridSpan w:val="20"/>
          </w:tcPr>
          <w:p>
            <w:pPr>
              <w:ind w:left="20"/>
              <w:spacing w:after="0" w:line="250" w:lineRule="exact"/>
              <w:rPr>
                <w:sz w:val="20"/>
                <w:szCs w:val="20"/>
                <w:color w:val="auto"/>
              </w:rPr>
            </w:pPr>
            <w:r>
              <w:rPr>
                <w:rFonts w:ascii="Times New Roman" w:cs="Times New Roman" w:eastAsia="Times New Roman" w:hAnsi="Times New Roman"/>
                <w:sz w:val="22"/>
                <w:szCs w:val="22"/>
                <w:color w:val="0563C1"/>
              </w:rPr>
              <w:t>Fundamental Changes</w:t>
            </w:r>
          </w:p>
        </w:tc>
        <w:tc>
          <w:tcPr>
            <w:tcW w:w="3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140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99"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2"/>
                <w:szCs w:val="22"/>
                <w:color w:val="0563C1"/>
                <w:w w:val="93"/>
              </w:rPr>
              <w:t>SECTION 6.04</w:t>
            </w:r>
          </w:p>
        </w:tc>
        <w:tc>
          <w:tcPr>
            <w:tcW w:w="220" w:type="dxa"/>
            <w:vAlign w:val="bottom"/>
          </w:tcPr>
          <w:p>
            <w:pPr>
              <w:spacing w:after="0"/>
              <w:rPr>
                <w:sz w:val="22"/>
                <w:szCs w:val="22"/>
                <w:color w:val="auto"/>
              </w:rPr>
            </w:pPr>
          </w:p>
        </w:tc>
        <w:tc>
          <w:tcPr>
            <w:tcW w:w="5340" w:type="dxa"/>
            <w:vAlign w:val="bottom"/>
            <w:gridSpan w:val="37"/>
          </w:tcPr>
          <w:p>
            <w:pPr>
              <w:ind w:left="20"/>
              <w:spacing w:after="0"/>
              <w:rPr>
                <w:sz w:val="20"/>
                <w:szCs w:val="20"/>
                <w:color w:val="auto"/>
              </w:rPr>
            </w:pPr>
            <w:r>
              <w:rPr>
                <w:rFonts w:ascii="Times New Roman" w:cs="Times New Roman" w:eastAsia="Times New Roman" w:hAnsi="Times New Roman"/>
                <w:sz w:val="22"/>
                <w:szCs w:val="22"/>
                <w:color w:val="0563C1"/>
                <w:w w:val="99"/>
              </w:rPr>
              <w:t>Investments, Loans, Advances, Guarantees and Acquisitions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6.05</w:t>
            </w:r>
          </w:p>
        </w:tc>
        <w:tc>
          <w:tcPr>
            <w:tcW w:w="220" w:type="dxa"/>
            <w:vAlign w:val="bottom"/>
          </w:tcPr>
          <w:p>
            <w:pPr>
              <w:spacing w:after="0"/>
              <w:rPr>
                <w:sz w:val="21"/>
                <w:szCs w:val="21"/>
                <w:color w:val="auto"/>
              </w:rPr>
            </w:pPr>
          </w:p>
        </w:tc>
        <w:tc>
          <w:tcPr>
            <w:tcW w:w="1800" w:type="dxa"/>
            <w:vAlign w:val="bottom"/>
            <w:gridSpan w:val="16"/>
          </w:tcPr>
          <w:p>
            <w:pPr>
              <w:ind w:left="20"/>
              <w:spacing w:after="0" w:line="250" w:lineRule="exact"/>
              <w:rPr>
                <w:sz w:val="20"/>
                <w:szCs w:val="20"/>
                <w:color w:val="auto"/>
              </w:rPr>
            </w:pPr>
            <w:r>
              <w:rPr>
                <w:rFonts w:ascii="Times New Roman" w:cs="Times New Roman" w:eastAsia="Times New Roman" w:hAnsi="Times New Roman"/>
                <w:sz w:val="22"/>
                <w:szCs w:val="22"/>
                <w:color w:val="0563C1"/>
              </w:rPr>
              <w:t>Swap Agreements</w:t>
            </w:r>
          </w:p>
        </w:tc>
        <w:tc>
          <w:tcPr>
            <w:tcW w:w="420" w:type="dxa"/>
            <w:vAlign w:val="bottom"/>
            <w:gridSpan w:val="3"/>
          </w:tcPr>
          <w:p>
            <w:pPr>
              <w:jc w:val="right"/>
              <w:ind w:right="80"/>
              <w:spacing w:after="0" w:line="250" w:lineRule="exact"/>
              <w:rPr>
                <w:sz w:val="20"/>
                <w:szCs w:val="20"/>
                <w:color w:val="auto"/>
              </w:rPr>
            </w:pPr>
            <w:r>
              <w:rPr>
                <w:rFonts w:ascii="Times New Roman" w:cs="Times New Roman" w:eastAsia="Times New Roman" w:hAnsi="Times New Roman"/>
                <w:sz w:val="22"/>
                <w:szCs w:val="22"/>
                <w:color w:val="auto"/>
                <w:w w:val="96"/>
              </w:rPr>
              <w:t>151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6.06</w:t>
            </w:r>
          </w:p>
        </w:tc>
        <w:tc>
          <w:tcPr>
            <w:tcW w:w="220" w:type="dxa"/>
            <w:vAlign w:val="bottom"/>
          </w:tcPr>
          <w:p>
            <w:pPr>
              <w:spacing w:after="0"/>
              <w:rPr>
                <w:sz w:val="20"/>
                <w:szCs w:val="20"/>
                <w:color w:val="auto"/>
              </w:rPr>
            </w:pPr>
          </w:p>
        </w:tc>
        <w:tc>
          <w:tcPr>
            <w:tcW w:w="1800" w:type="dxa"/>
            <w:vAlign w:val="bottom"/>
            <w:gridSpan w:val="16"/>
          </w:tcPr>
          <w:p>
            <w:pPr>
              <w:ind w:left="20"/>
              <w:spacing w:after="0" w:line="237" w:lineRule="exact"/>
              <w:rPr>
                <w:sz w:val="20"/>
                <w:szCs w:val="20"/>
                <w:color w:val="auto"/>
              </w:rPr>
            </w:pPr>
            <w:r>
              <w:rPr>
                <w:rFonts w:ascii="Times New Roman" w:cs="Times New Roman" w:eastAsia="Times New Roman" w:hAnsi="Times New Roman"/>
                <w:sz w:val="22"/>
                <w:szCs w:val="22"/>
                <w:color w:val="0563C1"/>
                <w:w w:val="97"/>
              </w:rPr>
              <w:t>Restricted Payments</w:t>
            </w:r>
          </w:p>
        </w:tc>
        <w:tc>
          <w:tcPr>
            <w:tcW w:w="56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151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6.07</w:t>
            </w:r>
          </w:p>
        </w:tc>
        <w:tc>
          <w:tcPr>
            <w:tcW w:w="220" w:type="dxa"/>
            <w:vAlign w:val="bottom"/>
          </w:tcPr>
          <w:p>
            <w:pPr>
              <w:spacing w:after="0"/>
              <w:rPr>
                <w:sz w:val="21"/>
                <w:szCs w:val="21"/>
                <w:color w:val="auto"/>
              </w:rPr>
            </w:pPr>
          </w:p>
        </w:tc>
        <w:tc>
          <w:tcPr>
            <w:tcW w:w="25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rPr>
              <w:t>Transactions with Affiliates</w:t>
            </w:r>
          </w:p>
        </w:tc>
        <w:tc>
          <w:tcPr>
            <w:tcW w:w="620" w:type="dxa"/>
            <w:vAlign w:val="bottom"/>
            <w:gridSpan w:val="4"/>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154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6.08</w:t>
            </w:r>
          </w:p>
        </w:tc>
        <w:tc>
          <w:tcPr>
            <w:tcW w:w="220" w:type="dxa"/>
            <w:vAlign w:val="bottom"/>
          </w:tcPr>
          <w:p>
            <w:pPr>
              <w:spacing w:after="0"/>
              <w:rPr>
                <w:sz w:val="20"/>
                <w:szCs w:val="20"/>
                <w:color w:val="auto"/>
              </w:rPr>
            </w:pPr>
          </w:p>
        </w:tc>
        <w:tc>
          <w:tcPr>
            <w:tcW w:w="2240" w:type="dxa"/>
            <w:vAlign w:val="bottom"/>
            <w:gridSpan w:val="20"/>
          </w:tcPr>
          <w:p>
            <w:pPr>
              <w:ind w:left="20"/>
              <w:spacing w:after="0" w:line="237" w:lineRule="exact"/>
              <w:rPr>
                <w:sz w:val="20"/>
                <w:szCs w:val="20"/>
                <w:color w:val="auto"/>
              </w:rPr>
            </w:pPr>
            <w:r>
              <w:rPr>
                <w:rFonts w:ascii="Times New Roman" w:cs="Times New Roman" w:eastAsia="Times New Roman" w:hAnsi="Times New Roman"/>
                <w:sz w:val="22"/>
                <w:szCs w:val="22"/>
                <w:color w:val="0563C1"/>
              </w:rPr>
              <w:t>Restrictive Agreements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w w:val="96"/>
              </w:rPr>
              <w:t>155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6.09</w:t>
            </w:r>
          </w:p>
        </w:tc>
        <w:tc>
          <w:tcPr>
            <w:tcW w:w="220" w:type="dxa"/>
            <w:vAlign w:val="bottom"/>
          </w:tcPr>
          <w:p>
            <w:pPr>
              <w:spacing w:after="0"/>
              <w:rPr>
                <w:sz w:val="21"/>
                <w:szCs w:val="21"/>
                <w:color w:val="auto"/>
              </w:rPr>
            </w:pPr>
          </w:p>
        </w:tc>
        <w:tc>
          <w:tcPr>
            <w:tcW w:w="25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rPr>
              <w:t>Outbound Investment Rules</w:t>
            </w:r>
          </w:p>
        </w:tc>
        <w:tc>
          <w:tcPr>
            <w:tcW w:w="620" w:type="dxa"/>
            <w:vAlign w:val="bottom"/>
            <w:gridSpan w:val="4"/>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158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6.10</w:t>
            </w:r>
          </w:p>
        </w:tc>
        <w:tc>
          <w:tcPr>
            <w:tcW w:w="220" w:type="dxa"/>
            <w:vAlign w:val="bottom"/>
          </w:tcPr>
          <w:p>
            <w:pPr>
              <w:spacing w:after="0"/>
              <w:rPr>
                <w:sz w:val="21"/>
                <w:szCs w:val="21"/>
                <w:color w:val="auto"/>
              </w:rPr>
            </w:pPr>
          </w:p>
        </w:tc>
        <w:tc>
          <w:tcPr>
            <w:tcW w:w="4520" w:type="dxa"/>
            <w:vAlign w:val="bottom"/>
            <w:gridSpan w:val="34"/>
          </w:tcPr>
          <w:p>
            <w:pPr>
              <w:ind w:left="20"/>
              <w:spacing w:after="0" w:line="250" w:lineRule="exact"/>
              <w:rPr>
                <w:sz w:val="20"/>
                <w:szCs w:val="20"/>
                <w:color w:val="auto"/>
              </w:rPr>
            </w:pPr>
            <w:r>
              <w:rPr>
                <w:rFonts w:ascii="Times New Roman" w:cs="Times New Roman" w:eastAsia="Times New Roman" w:hAnsi="Times New Roman"/>
                <w:sz w:val="22"/>
                <w:szCs w:val="22"/>
                <w:color w:val="0563C1"/>
              </w:rPr>
              <w:t xml:space="preserve">Amendments to Certain Agreements  </w:t>
            </w:r>
            <w:r>
              <w:rPr>
                <w:rFonts w:ascii="Times New Roman" w:cs="Times New Roman" w:eastAsia="Times New Roman" w:hAnsi="Times New Roman"/>
                <w:sz w:val="22"/>
                <w:szCs w:val="22"/>
                <w:color w:val="000000"/>
              </w:rPr>
              <w:t>158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6.11</w:t>
            </w:r>
          </w:p>
        </w:tc>
        <w:tc>
          <w:tcPr>
            <w:tcW w:w="5560" w:type="dxa"/>
            <w:vAlign w:val="bottom"/>
            <w:gridSpan w:val="38"/>
          </w:tcPr>
          <w:p>
            <w:pPr>
              <w:ind w:left="220"/>
              <w:spacing w:after="0" w:line="237" w:lineRule="exact"/>
              <w:rPr>
                <w:sz w:val="20"/>
                <w:szCs w:val="20"/>
                <w:color w:val="auto"/>
              </w:rPr>
            </w:pPr>
            <w:r>
              <w:rPr>
                <w:rFonts w:ascii="Times New Roman" w:cs="Times New Roman" w:eastAsia="Times New Roman" w:hAnsi="Times New Roman"/>
                <w:sz w:val="22"/>
                <w:szCs w:val="22"/>
                <w:color w:val="0563C1"/>
              </w:rPr>
              <w:t xml:space="preserve">Prepayment of Indebtedness; Subordinated Debt  </w:t>
            </w:r>
            <w:r>
              <w:rPr>
                <w:rFonts w:ascii="Times New Roman" w:cs="Times New Roman" w:eastAsia="Times New Roman" w:hAnsi="Times New Roman"/>
                <w:sz w:val="22"/>
                <w:szCs w:val="22"/>
                <w:color w:val="000000"/>
              </w:rPr>
              <w:t>158</w:t>
            </w:r>
          </w:p>
        </w:tc>
        <w:tc>
          <w:tcPr>
            <w:tcW w:w="440" w:type="dxa"/>
            <w:vAlign w:val="bottom"/>
          </w:tcPr>
          <w:p>
            <w:pPr>
              <w:spacing w:after="0"/>
              <w:rPr>
                <w:sz w:val="20"/>
                <w:szCs w:val="20"/>
                <w:color w:val="auto"/>
              </w:rPr>
            </w:pPr>
          </w:p>
        </w:tc>
      </w:tr>
      <w:tr>
        <w:trPr>
          <w:trHeight w:val="250"/>
        </w:trPr>
        <w:tc>
          <w:tcPr>
            <w:tcW w:w="340" w:type="dxa"/>
            <w:vAlign w:val="bottom"/>
          </w:tcPr>
          <w:p>
            <w:pPr>
              <w:spacing w:after="0"/>
              <w:rPr>
                <w:sz w:val="21"/>
                <w:szCs w:val="21"/>
                <w:color w:val="auto"/>
              </w:rPr>
            </w:pPr>
          </w:p>
        </w:tc>
        <w:tc>
          <w:tcPr>
            <w:tcW w:w="1320" w:type="dxa"/>
            <w:vAlign w:val="bottom"/>
            <w:tcBorders>
              <w:top w:val="single" w:sz="8" w:color="0563C1"/>
            </w:tcBorders>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6.12</w:t>
            </w:r>
          </w:p>
        </w:tc>
        <w:tc>
          <w:tcPr>
            <w:tcW w:w="220" w:type="dxa"/>
            <w:vAlign w:val="bottom"/>
          </w:tcPr>
          <w:p>
            <w:pPr>
              <w:spacing w:after="0"/>
              <w:rPr>
                <w:sz w:val="21"/>
                <w:szCs w:val="21"/>
                <w:color w:val="auto"/>
              </w:rPr>
            </w:pPr>
          </w:p>
        </w:tc>
        <w:tc>
          <w:tcPr>
            <w:tcW w:w="1120" w:type="dxa"/>
            <w:vAlign w:val="bottom"/>
            <w:tcBorders>
              <w:top w:val="single" w:sz="8" w:color="0563C1"/>
            </w:tcBorders>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[Reserved]</w:t>
            </w:r>
          </w:p>
        </w:tc>
        <w:tc>
          <w:tcPr>
            <w:tcW w:w="420" w:type="dxa"/>
            <w:vAlign w:val="bottom"/>
            <w:tcBorders>
              <w:top w:val="single" w:sz="8" w:color="0563C1"/>
            </w:tcBorders>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159</w:t>
            </w:r>
          </w:p>
        </w:tc>
        <w:tc>
          <w:tcPr>
            <w:tcW w:w="1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680" w:type="dxa"/>
            <w:vAlign w:val="bottom"/>
            <w:tcBorders>
              <w:top w:val="single" w:sz="8" w:color="0563C1"/>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6.13</w:t>
            </w:r>
          </w:p>
        </w:tc>
        <w:tc>
          <w:tcPr>
            <w:tcW w:w="220" w:type="dxa"/>
            <w:vAlign w:val="bottom"/>
          </w:tcPr>
          <w:p>
            <w:pPr>
              <w:spacing w:after="0"/>
              <w:rPr>
                <w:sz w:val="20"/>
                <w:szCs w:val="20"/>
                <w:color w:val="auto"/>
              </w:rPr>
            </w:pPr>
          </w:p>
        </w:tc>
        <w:tc>
          <w:tcPr>
            <w:tcW w:w="1800" w:type="dxa"/>
            <w:vAlign w:val="bottom"/>
            <w:gridSpan w:val="16"/>
          </w:tcPr>
          <w:p>
            <w:pPr>
              <w:ind w:left="20"/>
              <w:spacing w:after="0" w:line="237" w:lineRule="exact"/>
              <w:rPr>
                <w:sz w:val="20"/>
                <w:szCs w:val="20"/>
                <w:color w:val="auto"/>
              </w:rPr>
            </w:pPr>
            <w:r>
              <w:rPr>
                <w:rFonts w:ascii="Times New Roman" w:cs="Times New Roman" w:eastAsia="Times New Roman" w:hAnsi="Times New Roman"/>
                <w:sz w:val="22"/>
                <w:szCs w:val="22"/>
                <w:color w:val="0563C1"/>
                <w:w w:val="97"/>
              </w:rPr>
              <w:t>Financial Covenants</w:t>
            </w:r>
          </w:p>
        </w:tc>
        <w:tc>
          <w:tcPr>
            <w:tcW w:w="56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159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3680" w:type="dxa"/>
            <w:vAlign w:val="bottom"/>
            <w:gridSpan w:val="19"/>
          </w:tcPr>
          <w:p>
            <w:pPr>
              <w:spacing w:after="0"/>
              <w:rPr>
                <w:sz w:val="20"/>
                <w:szCs w:val="20"/>
                <w:color w:val="auto"/>
              </w:rPr>
            </w:pPr>
            <w:r>
              <w:rPr>
                <w:rFonts w:ascii="Times New Roman" w:cs="Times New Roman" w:eastAsia="Times New Roman" w:hAnsi="Times New Roman"/>
                <w:sz w:val="22"/>
                <w:szCs w:val="22"/>
                <w:color w:val="0563C1"/>
              </w:rPr>
              <w:t>ARTICLE VII. EVENTS OF DEFAULT</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159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6"/>
        </w:trPr>
        <w:tc>
          <w:tcPr>
            <w:tcW w:w="340" w:type="dxa"/>
            <w:vAlign w:val="bottom"/>
            <w:tcBorders>
              <w:top w:val="single" w:sz="8" w:color="0563C1"/>
            </w:tcBorders>
          </w:tcPr>
          <w:p>
            <w:pPr>
              <w:spacing w:after="0"/>
              <w:rPr>
                <w:sz w:val="20"/>
                <w:szCs w:val="20"/>
                <w:color w:val="auto"/>
              </w:rPr>
            </w:pPr>
          </w:p>
        </w:tc>
        <w:tc>
          <w:tcPr>
            <w:tcW w:w="1320" w:type="dxa"/>
            <w:vAlign w:val="bottom"/>
            <w:tcBorders>
              <w:top w:val="single" w:sz="8" w:color="0563C1"/>
            </w:tcBorders>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7.01</w:t>
            </w:r>
          </w:p>
        </w:tc>
        <w:tc>
          <w:tcPr>
            <w:tcW w:w="220" w:type="dxa"/>
            <w:vAlign w:val="bottom"/>
            <w:tcBorders>
              <w:top w:val="single" w:sz="8" w:color="0563C1"/>
            </w:tcBorders>
          </w:tcPr>
          <w:p>
            <w:pPr>
              <w:spacing w:after="0"/>
              <w:rPr>
                <w:sz w:val="20"/>
                <w:szCs w:val="20"/>
                <w:color w:val="auto"/>
              </w:rPr>
            </w:pPr>
          </w:p>
        </w:tc>
        <w:tc>
          <w:tcPr>
            <w:tcW w:w="1540" w:type="dxa"/>
            <w:vAlign w:val="bottom"/>
            <w:tcBorders>
              <w:top w:val="single" w:sz="8" w:color="0563C1"/>
            </w:tcBorders>
            <w:gridSpan w:val="13"/>
          </w:tcPr>
          <w:p>
            <w:pPr>
              <w:ind w:left="20"/>
              <w:spacing w:after="0" w:line="237" w:lineRule="exact"/>
              <w:rPr>
                <w:sz w:val="20"/>
                <w:szCs w:val="20"/>
                <w:color w:val="auto"/>
              </w:rPr>
            </w:pPr>
            <w:r>
              <w:rPr>
                <w:rFonts w:ascii="Times New Roman" w:cs="Times New Roman" w:eastAsia="Times New Roman" w:hAnsi="Times New Roman"/>
                <w:sz w:val="22"/>
                <w:szCs w:val="22"/>
                <w:color w:val="0563C1"/>
                <w:w w:val="95"/>
              </w:rPr>
              <w:t>Events of Default</w:t>
            </w:r>
          </w:p>
        </w:tc>
        <w:tc>
          <w:tcPr>
            <w:tcW w:w="100" w:type="dxa"/>
            <w:vAlign w:val="bottom"/>
            <w:tcBorders>
              <w:top w:val="single" w:sz="8" w:color="0563C1"/>
            </w:tcBorders>
          </w:tcPr>
          <w:p>
            <w:pPr>
              <w:spacing w:after="0"/>
              <w:rPr>
                <w:sz w:val="20"/>
                <w:szCs w:val="20"/>
                <w:color w:val="auto"/>
              </w:rPr>
            </w:pPr>
          </w:p>
        </w:tc>
        <w:tc>
          <w:tcPr>
            <w:tcW w:w="4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159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7.02</w:t>
            </w:r>
          </w:p>
        </w:tc>
        <w:tc>
          <w:tcPr>
            <w:tcW w:w="220" w:type="dxa"/>
            <w:vAlign w:val="bottom"/>
          </w:tcPr>
          <w:p>
            <w:pPr>
              <w:spacing w:after="0"/>
              <w:rPr>
                <w:sz w:val="21"/>
                <w:szCs w:val="21"/>
                <w:color w:val="auto"/>
              </w:rPr>
            </w:pPr>
          </w:p>
        </w:tc>
        <w:tc>
          <w:tcPr>
            <w:tcW w:w="112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Equity Cure</w:t>
            </w:r>
          </w:p>
        </w:tc>
        <w:tc>
          <w:tcPr>
            <w:tcW w:w="5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162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4720" w:type="dxa"/>
            <w:vAlign w:val="bottom"/>
            <w:gridSpan w:val="29"/>
          </w:tcPr>
          <w:p>
            <w:pPr>
              <w:spacing w:after="0"/>
              <w:rPr>
                <w:sz w:val="20"/>
                <w:szCs w:val="20"/>
                <w:color w:val="auto"/>
              </w:rPr>
            </w:pPr>
            <w:r>
              <w:rPr>
                <w:rFonts w:ascii="Times New Roman" w:cs="Times New Roman" w:eastAsia="Times New Roman" w:hAnsi="Times New Roman"/>
                <w:sz w:val="22"/>
                <w:szCs w:val="22"/>
                <w:color w:val="0563C1"/>
              </w:rPr>
              <w:t>ARTICLE VIII. THE ADMINISTRATIVE AGENT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w w:val="96"/>
              </w:rPr>
              <w:t>163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8.01</w:t>
            </w:r>
          </w:p>
        </w:tc>
        <w:tc>
          <w:tcPr>
            <w:tcW w:w="220" w:type="dxa"/>
            <w:vAlign w:val="bottom"/>
          </w:tcPr>
          <w:p>
            <w:pPr>
              <w:spacing w:after="0"/>
              <w:rPr>
                <w:sz w:val="21"/>
                <w:szCs w:val="21"/>
                <w:color w:val="auto"/>
              </w:rPr>
            </w:pPr>
          </w:p>
        </w:tc>
        <w:tc>
          <w:tcPr>
            <w:tcW w:w="2240" w:type="dxa"/>
            <w:vAlign w:val="bottom"/>
            <w:gridSpan w:val="20"/>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Authorization and Action</w:t>
            </w:r>
          </w:p>
        </w:tc>
        <w:tc>
          <w:tcPr>
            <w:tcW w:w="580" w:type="dxa"/>
            <w:vAlign w:val="bottom"/>
            <w:gridSpan w:val="5"/>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163</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8.02</w:t>
            </w:r>
          </w:p>
        </w:tc>
        <w:tc>
          <w:tcPr>
            <w:tcW w:w="220" w:type="dxa"/>
            <w:vAlign w:val="bottom"/>
          </w:tcPr>
          <w:p>
            <w:pPr>
              <w:spacing w:after="0"/>
              <w:rPr>
                <w:sz w:val="20"/>
                <w:szCs w:val="20"/>
                <w:color w:val="auto"/>
              </w:rPr>
            </w:pPr>
          </w:p>
        </w:tc>
        <w:tc>
          <w:tcPr>
            <w:tcW w:w="5340" w:type="dxa"/>
            <w:vAlign w:val="bottom"/>
            <w:gridSpan w:val="37"/>
          </w:tcPr>
          <w:p>
            <w:pPr>
              <w:ind w:left="20"/>
              <w:spacing w:after="0" w:line="237" w:lineRule="exact"/>
              <w:rPr>
                <w:sz w:val="20"/>
                <w:szCs w:val="20"/>
                <w:color w:val="auto"/>
              </w:rPr>
            </w:pPr>
            <w:r>
              <w:rPr>
                <w:rFonts w:ascii="Times New Roman" w:cs="Times New Roman" w:eastAsia="Times New Roman" w:hAnsi="Times New Roman"/>
                <w:sz w:val="22"/>
                <w:szCs w:val="22"/>
                <w:color w:val="0563C1"/>
              </w:rPr>
              <w:t xml:space="preserve">Administrative Agent’s Reliance, Indemnification, Etc  </w:t>
            </w:r>
            <w:r>
              <w:rPr>
                <w:rFonts w:ascii="Times New Roman" w:cs="Times New Roman" w:eastAsia="Times New Roman" w:hAnsi="Times New Roman"/>
                <w:sz w:val="22"/>
                <w:szCs w:val="22"/>
                <w:color w:val="000000"/>
              </w:rPr>
              <w:t>166</w:t>
            </w: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8.03</w:t>
            </w:r>
          </w:p>
        </w:tc>
        <w:tc>
          <w:tcPr>
            <w:tcW w:w="220" w:type="dxa"/>
            <w:vAlign w:val="bottom"/>
          </w:tcPr>
          <w:p>
            <w:pPr>
              <w:spacing w:after="0"/>
              <w:rPr>
                <w:sz w:val="21"/>
                <w:szCs w:val="21"/>
                <w:color w:val="auto"/>
              </w:rPr>
            </w:pPr>
          </w:p>
        </w:tc>
        <w:tc>
          <w:tcPr>
            <w:tcW w:w="25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rPr>
              <w:t>Posting of Communications</w:t>
            </w:r>
          </w:p>
        </w:tc>
        <w:tc>
          <w:tcPr>
            <w:tcW w:w="620" w:type="dxa"/>
            <w:vAlign w:val="bottom"/>
            <w:gridSpan w:val="4"/>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rPr>
              <w:t>167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8.04</w:t>
            </w:r>
          </w:p>
        </w:tc>
        <w:tc>
          <w:tcPr>
            <w:tcW w:w="220" w:type="dxa"/>
            <w:vAlign w:val="bottom"/>
          </w:tcPr>
          <w:p>
            <w:pPr>
              <w:spacing w:after="0"/>
              <w:rPr>
                <w:sz w:val="20"/>
                <w:szCs w:val="20"/>
                <w:color w:val="auto"/>
              </w:rPr>
            </w:pPr>
          </w:p>
        </w:tc>
        <w:tc>
          <w:tcPr>
            <w:tcW w:w="3520" w:type="dxa"/>
            <w:vAlign w:val="bottom"/>
            <w:gridSpan w:val="30"/>
          </w:tcPr>
          <w:p>
            <w:pPr>
              <w:ind w:left="20"/>
              <w:spacing w:after="0" w:line="237" w:lineRule="exact"/>
              <w:rPr>
                <w:sz w:val="20"/>
                <w:szCs w:val="20"/>
                <w:color w:val="auto"/>
              </w:rPr>
            </w:pPr>
            <w:r>
              <w:rPr>
                <w:rFonts w:ascii="Times New Roman" w:cs="Times New Roman" w:eastAsia="Times New Roman" w:hAnsi="Times New Roman"/>
                <w:sz w:val="22"/>
                <w:szCs w:val="22"/>
                <w:color w:val="0563C1"/>
              </w:rPr>
              <w:t>The Administrative Agent Individually</w:t>
            </w:r>
          </w:p>
        </w:tc>
        <w:tc>
          <w:tcPr>
            <w:tcW w:w="680" w:type="dxa"/>
            <w:vAlign w:val="bottom"/>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169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8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8.05</w:t>
            </w:r>
          </w:p>
        </w:tc>
        <w:tc>
          <w:tcPr>
            <w:tcW w:w="220" w:type="dxa"/>
            <w:vAlign w:val="bottom"/>
          </w:tcPr>
          <w:p>
            <w:pPr>
              <w:spacing w:after="0"/>
              <w:rPr>
                <w:sz w:val="21"/>
                <w:szCs w:val="21"/>
                <w:color w:val="auto"/>
              </w:rPr>
            </w:pPr>
          </w:p>
        </w:tc>
        <w:tc>
          <w:tcPr>
            <w:tcW w:w="2840" w:type="dxa"/>
            <w:vAlign w:val="bottom"/>
            <w:gridSpan w:val="26"/>
          </w:tcPr>
          <w:p>
            <w:pPr>
              <w:ind w:left="20"/>
              <w:spacing w:after="0" w:line="250" w:lineRule="exact"/>
              <w:rPr>
                <w:sz w:val="20"/>
                <w:szCs w:val="20"/>
                <w:color w:val="auto"/>
              </w:rPr>
            </w:pPr>
            <w:r>
              <w:rPr>
                <w:rFonts w:ascii="Times New Roman" w:cs="Times New Roman" w:eastAsia="Times New Roman" w:hAnsi="Times New Roman"/>
                <w:sz w:val="22"/>
                <w:szCs w:val="22"/>
                <w:color w:val="0563C1"/>
                <w:w w:val="98"/>
              </w:rPr>
              <w:t>Successor Administrative Agent</w:t>
            </w:r>
          </w:p>
        </w:tc>
        <w:tc>
          <w:tcPr>
            <w:tcW w:w="5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169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80" w:type="dxa"/>
            <w:vAlign w:val="bottom"/>
            <w:tcBorders>
              <w:left w:val="single" w:sz="8" w:color="0563C1"/>
            </w:tcBorders>
            <w:gridSpan w:val="3"/>
            <w:shd w:val="clear" w:color="auto" w:fill="0563C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8.06</w:t>
            </w:r>
          </w:p>
        </w:tc>
        <w:tc>
          <w:tcPr>
            <w:tcW w:w="220" w:type="dxa"/>
            <w:vAlign w:val="bottom"/>
          </w:tcPr>
          <w:p>
            <w:pPr>
              <w:spacing w:after="0"/>
              <w:rPr>
                <w:sz w:val="20"/>
                <w:szCs w:val="20"/>
                <w:color w:val="auto"/>
              </w:rPr>
            </w:pPr>
          </w:p>
        </w:tc>
        <w:tc>
          <w:tcPr>
            <w:tcW w:w="4520" w:type="dxa"/>
            <w:vAlign w:val="bottom"/>
            <w:gridSpan w:val="34"/>
          </w:tcPr>
          <w:p>
            <w:pPr>
              <w:ind w:left="20"/>
              <w:spacing w:after="0" w:line="237" w:lineRule="exact"/>
              <w:rPr>
                <w:sz w:val="20"/>
                <w:szCs w:val="20"/>
                <w:color w:val="auto"/>
              </w:rPr>
            </w:pPr>
            <w:r>
              <w:rPr>
                <w:rFonts w:ascii="Times New Roman" w:cs="Times New Roman" w:eastAsia="Times New Roman" w:hAnsi="Times New Roman"/>
                <w:sz w:val="22"/>
                <w:szCs w:val="22"/>
                <w:color w:val="0563C1"/>
              </w:rPr>
              <w:t>Acknowledgements of Lenders and Issuing Banks</w:t>
            </w:r>
          </w:p>
        </w:tc>
        <w:tc>
          <w:tcPr>
            <w:tcW w:w="680" w:type="dxa"/>
            <w:vAlign w:val="bottom"/>
            <w:gridSpan w:val="2"/>
          </w:tcPr>
          <w:p>
            <w:pPr>
              <w:jc w:val="right"/>
              <w:ind w:right="300"/>
              <w:spacing w:after="0" w:line="237" w:lineRule="exact"/>
              <w:rPr>
                <w:sz w:val="20"/>
                <w:szCs w:val="20"/>
                <w:color w:val="auto"/>
              </w:rPr>
            </w:pPr>
            <w:r>
              <w:rPr>
                <w:rFonts w:ascii="Times New Roman" w:cs="Times New Roman" w:eastAsia="Times New Roman" w:hAnsi="Times New Roman"/>
                <w:sz w:val="22"/>
                <w:szCs w:val="22"/>
                <w:color w:val="auto"/>
              </w:rPr>
              <w:t>170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8.07</w:t>
            </w:r>
          </w:p>
        </w:tc>
        <w:tc>
          <w:tcPr>
            <w:tcW w:w="220" w:type="dxa"/>
            <w:vAlign w:val="bottom"/>
          </w:tcPr>
          <w:p>
            <w:pPr>
              <w:spacing w:after="0"/>
              <w:rPr>
                <w:sz w:val="21"/>
                <w:szCs w:val="21"/>
                <w:color w:val="auto"/>
              </w:rPr>
            </w:pPr>
          </w:p>
        </w:tc>
        <w:tc>
          <w:tcPr>
            <w:tcW w:w="1540" w:type="dxa"/>
            <w:vAlign w:val="bottom"/>
            <w:gridSpan w:val="13"/>
          </w:tcPr>
          <w:p>
            <w:pPr>
              <w:ind w:left="20"/>
              <w:spacing w:after="0" w:line="250" w:lineRule="exact"/>
              <w:rPr>
                <w:sz w:val="20"/>
                <w:szCs w:val="20"/>
                <w:color w:val="auto"/>
              </w:rPr>
            </w:pPr>
            <w:r>
              <w:rPr>
                <w:rFonts w:ascii="Times New Roman" w:cs="Times New Roman" w:eastAsia="Times New Roman" w:hAnsi="Times New Roman"/>
                <w:sz w:val="22"/>
                <w:szCs w:val="22"/>
                <w:color w:val="0563C1"/>
                <w:w w:val="95"/>
              </w:rPr>
              <w:t>Guaranty Matters</w:t>
            </w:r>
          </w:p>
        </w:tc>
        <w:tc>
          <w:tcPr>
            <w:tcW w:w="5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173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8.08</w:t>
            </w:r>
          </w:p>
        </w:tc>
        <w:tc>
          <w:tcPr>
            <w:tcW w:w="220" w:type="dxa"/>
            <w:vAlign w:val="bottom"/>
          </w:tcPr>
          <w:p>
            <w:pPr>
              <w:spacing w:after="0"/>
              <w:rPr>
                <w:sz w:val="21"/>
                <w:szCs w:val="21"/>
                <w:color w:val="auto"/>
              </w:rPr>
            </w:pPr>
          </w:p>
        </w:tc>
        <w:tc>
          <w:tcPr>
            <w:tcW w:w="112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[Reserved]</w:t>
            </w:r>
          </w:p>
        </w:tc>
        <w:tc>
          <w:tcPr>
            <w:tcW w:w="4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8.09</w:t>
            </w:r>
          </w:p>
        </w:tc>
        <w:tc>
          <w:tcPr>
            <w:tcW w:w="220" w:type="dxa"/>
            <w:vAlign w:val="bottom"/>
          </w:tcPr>
          <w:p>
            <w:pPr>
              <w:spacing w:after="0"/>
              <w:rPr>
                <w:sz w:val="20"/>
                <w:szCs w:val="20"/>
                <w:color w:val="auto"/>
              </w:rPr>
            </w:pPr>
          </w:p>
        </w:tc>
        <w:tc>
          <w:tcPr>
            <w:tcW w:w="2240" w:type="dxa"/>
            <w:vAlign w:val="bottom"/>
            <w:gridSpan w:val="20"/>
          </w:tcPr>
          <w:p>
            <w:pPr>
              <w:ind w:left="20"/>
              <w:spacing w:after="0" w:line="237" w:lineRule="exact"/>
              <w:rPr>
                <w:sz w:val="20"/>
                <w:szCs w:val="20"/>
                <w:color w:val="auto"/>
              </w:rPr>
            </w:pPr>
            <w:r>
              <w:rPr>
                <w:rFonts w:ascii="Times New Roman" w:cs="Times New Roman" w:eastAsia="Times New Roman" w:hAnsi="Times New Roman"/>
                <w:sz w:val="22"/>
                <w:szCs w:val="22"/>
                <w:color w:val="0563C1"/>
              </w:rPr>
              <w:t>Certain ERISA Matters</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w w:val="96"/>
              </w:rPr>
              <w:t>174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8.10</w:t>
            </w:r>
          </w:p>
        </w:tc>
        <w:tc>
          <w:tcPr>
            <w:tcW w:w="220" w:type="dxa"/>
            <w:vAlign w:val="bottom"/>
          </w:tcPr>
          <w:p>
            <w:pPr>
              <w:spacing w:after="0"/>
              <w:rPr>
                <w:sz w:val="21"/>
                <w:szCs w:val="21"/>
                <w:color w:val="auto"/>
              </w:rPr>
            </w:pPr>
          </w:p>
        </w:tc>
        <w:tc>
          <w:tcPr>
            <w:tcW w:w="112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Flood Laws</w:t>
            </w:r>
          </w:p>
        </w:tc>
        <w:tc>
          <w:tcPr>
            <w:tcW w:w="4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8.11</w:t>
            </w:r>
          </w:p>
        </w:tc>
        <w:tc>
          <w:tcPr>
            <w:tcW w:w="2780" w:type="dxa"/>
            <w:vAlign w:val="bottom"/>
            <w:gridSpan w:val="24"/>
          </w:tcPr>
          <w:p>
            <w:pPr>
              <w:ind w:left="220"/>
              <w:spacing w:after="0" w:line="237" w:lineRule="exact"/>
              <w:rPr>
                <w:sz w:val="20"/>
                <w:szCs w:val="20"/>
                <w:color w:val="auto"/>
              </w:rPr>
            </w:pPr>
            <w:r>
              <w:rPr>
                <w:rFonts w:ascii="Times New Roman" w:cs="Times New Roman" w:eastAsia="Times New Roman" w:hAnsi="Times New Roman"/>
                <w:sz w:val="22"/>
                <w:szCs w:val="22"/>
                <w:color w:val="0563C1"/>
              </w:rPr>
              <w:t>Intercreditor Arrangements</w:t>
            </w:r>
          </w:p>
        </w:tc>
        <w:tc>
          <w:tcPr>
            <w:tcW w:w="620" w:type="dxa"/>
            <w:vAlign w:val="bottom"/>
            <w:gridSpan w:val="4"/>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w w:val="96"/>
              </w:rPr>
              <w:t>175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gridSpan w:val="4"/>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8.12</w:t>
            </w:r>
          </w:p>
        </w:tc>
        <w:tc>
          <w:tcPr>
            <w:tcW w:w="220" w:type="dxa"/>
            <w:vAlign w:val="bottom"/>
          </w:tcPr>
          <w:p>
            <w:pPr>
              <w:spacing w:after="0"/>
              <w:rPr>
                <w:sz w:val="21"/>
                <w:szCs w:val="21"/>
                <w:color w:val="auto"/>
              </w:rPr>
            </w:pPr>
          </w:p>
        </w:tc>
        <w:tc>
          <w:tcPr>
            <w:tcW w:w="256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563C1"/>
              </w:rPr>
              <w:t>Borrower Communications</w:t>
            </w:r>
          </w:p>
        </w:tc>
        <w:tc>
          <w:tcPr>
            <w:tcW w:w="620" w:type="dxa"/>
            <w:vAlign w:val="bottom"/>
            <w:gridSpan w:val="4"/>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rPr>
              <w:t>175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3280" w:type="dxa"/>
            <w:vAlign w:val="bottom"/>
            <w:gridSpan w:val="15"/>
          </w:tcPr>
          <w:p>
            <w:pPr>
              <w:spacing w:after="0"/>
              <w:rPr>
                <w:sz w:val="20"/>
                <w:szCs w:val="20"/>
                <w:color w:val="auto"/>
              </w:rPr>
            </w:pPr>
            <w:r>
              <w:rPr>
                <w:rFonts w:ascii="Times New Roman" w:cs="Times New Roman" w:eastAsia="Times New Roman" w:hAnsi="Times New Roman"/>
                <w:sz w:val="22"/>
                <w:szCs w:val="22"/>
                <w:color w:val="0563C1"/>
              </w:rPr>
              <w:t>ARTICLE IX. MISCELLANEOUS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6"/>
        </w:trPr>
        <w:tc>
          <w:tcPr>
            <w:tcW w:w="340" w:type="dxa"/>
            <w:vAlign w:val="bottom"/>
            <w:tcBorders>
              <w:top w:val="single" w:sz="8" w:color="0563C1"/>
            </w:tcBorders>
          </w:tcPr>
          <w:p>
            <w:pPr>
              <w:spacing w:after="0"/>
              <w:rPr>
                <w:sz w:val="20"/>
                <w:szCs w:val="20"/>
                <w:color w:val="auto"/>
              </w:rPr>
            </w:pPr>
          </w:p>
        </w:tc>
        <w:tc>
          <w:tcPr>
            <w:tcW w:w="1320" w:type="dxa"/>
            <w:vAlign w:val="bottom"/>
            <w:tcBorders>
              <w:top w:val="single" w:sz="8" w:color="0563C1"/>
            </w:tcBorders>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9.01</w:t>
            </w:r>
          </w:p>
        </w:tc>
        <w:tc>
          <w:tcPr>
            <w:tcW w:w="220" w:type="dxa"/>
            <w:vAlign w:val="bottom"/>
            <w:tcBorders>
              <w:top w:val="single" w:sz="8" w:color="0563C1"/>
            </w:tcBorders>
          </w:tcPr>
          <w:p>
            <w:pPr>
              <w:spacing w:after="0"/>
              <w:rPr>
                <w:sz w:val="20"/>
                <w:szCs w:val="20"/>
                <w:color w:val="auto"/>
              </w:rPr>
            </w:pPr>
          </w:p>
        </w:tc>
        <w:tc>
          <w:tcPr>
            <w:tcW w:w="860" w:type="dxa"/>
            <w:vAlign w:val="bottom"/>
            <w:tcBorders>
              <w:top w:val="single" w:sz="8" w:color="0563C1"/>
            </w:tcBorders>
            <w:gridSpan w:val="5"/>
          </w:tcPr>
          <w:p>
            <w:pPr>
              <w:ind w:left="20"/>
              <w:spacing w:after="0" w:line="237" w:lineRule="exact"/>
              <w:rPr>
                <w:sz w:val="20"/>
                <w:szCs w:val="20"/>
                <w:color w:val="auto"/>
              </w:rPr>
            </w:pPr>
            <w:r>
              <w:rPr>
                <w:rFonts w:ascii="Times New Roman" w:cs="Times New Roman" w:eastAsia="Times New Roman" w:hAnsi="Times New Roman"/>
                <w:sz w:val="22"/>
                <w:szCs w:val="22"/>
                <w:color w:val="0563C1"/>
              </w:rPr>
              <w:t>Notices</w:t>
            </w:r>
          </w:p>
        </w:tc>
        <w:tc>
          <w:tcPr>
            <w:tcW w:w="360" w:type="dxa"/>
            <w:vAlign w:val="bottom"/>
            <w:tcBorders>
              <w:top w:val="single" w:sz="8" w:color="0563C1"/>
            </w:tcBorders>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177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9.02</w:t>
            </w:r>
          </w:p>
        </w:tc>
        <w:tc>
          <w:tcPr>
            <w:tcW w:w="220" w:type="dxa"/>
            <w:vAlign w:val="bottom"/>
          </w:tcPr>
          <w:p>
            <w:pPr>
              <w:spacing w:after="0"/>
              <w:rPr>
                <w:sz w:val="20"/>
                <w:szCs w:val="20"/>
                <w:color w:val="auto"/>
              </w:rPr>
            </w:pPr>
          </w:p>
        </w:tc>
        <w:tc>
          <w:tcPr>
            <w:tcW w:w="2560" w:type="dxa"/>
            <w:vAlign w:val="bottom"/>
            <w:gridSpan w:val="23"/>
          </w:tcPr>
          <w:p>
            <w:pPr>
              <w:ind w:left="20"/>
              <w:spacing w:after="0" w:line="237" w:lineRule="exact"/>
              <w:rPr>
                <w:sz w:val="20"/>
                <w:szCs w:val="20"/>
                <w:color w:val="auto"/>
              </w:rPr>
            </w:pPr>
            <w:r>
              <w:rPr>
                <w:rFonts w:ascii="Times New Roman" w:cs="Times New Roman" w:eastAsia="Times New Roman" w:hAnsi="Times New Roman"/>
                <w:sz w:val="22"/>
                <w:szCs w:val="22"/>
                <w:color w:val="0563C1"/>
              </w:rPr>
              <w:t xml:space="preserve">Waivers; Amendments  </w:t>
            </w:r>
            <w:r>
              <w:rPr>
                <w:rFonts w:ascii="Times New Roman" w:cs="Times New Roman" w:eastAsia="Times New Roman" w:hAnsi="Times New Roman"/>
                <w:sz w:val="22"/>
                <w:szCs w:val="22"/>
                <w:color w:val="000000"/>
              </w:rPr>
              <w:t>178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3"/>
            <w:shd w:val="clear" w:color="auto" w:fill="0563C1"/>
          </w:tcPr>
          <w:p>
            <w:pPr>
              <w:spacing w:after="0" w:line="20" w:lineRule="exact"/>
              <w:rPr>
                <w:sz w:val="1"/>
                <w:szCs w:val="1"/>
                <w:color w:val="auto"/>
              </w:rPr>
            </w:pPr>
          </w:p>
        </w:tc>
        <w:tc>
          <w:tcPr>
            <w:tcW w:w="440" w:type="dxa"/>
            <w:vAlign w:val="bottom"/>
            <w:tcBorders>
              <w:left w:val="single" w:sz="8" w:color="0563C1"/>
            </w:tcBorders>
            <w:gridSpan w:val="4"/>
            <w:shd w:val="clear" w:color="auto" w:fill="0563C1"/>
          </w:tcPr>
          <w:p>
            <w:pPr>
              <w:spacing w:after="0" w:line="20" w:lineRule="exact"/>
              <w:rPr>
                <w:sz w:val="1"/>
                <w:szCs w:val="1"/>
                <w:color w:val="auto"/>
              </w:rPr>
            </w:pPr>
          </w:p>
        </w:tc>
        <w:tc>
          <w:tcPr>
            <w:tcW w:w="2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9.03</w:t>
            </w:r>
          </w:p>
        </w:tc>
        <w:tc>
          <w:tcPr>
            <w:tcW w:w="220" w:type="dxa"/>
            <w:vAlign w:val="bottom"/>
          </w:tcPr>
          <w:p>
            <w:pPr>
              <w:spacing w:after="0"/>
              <w:rPr>
                <w:sz w:val="21"/>
                <w:szCs w:val="21"/>
                <w:color w:val="auto"/>
              </w:rPr>
            </w:pPr>
          </w:p>
        </w:tc>
        <w:tc>
          <w:tcPr>
            <w:tcW w:w="3520" w:type="dxa"/>
            <w:vAlign w:val="bottom"/>
            <w:gridSpan w:val="30"/>
          </w:tcPr>
          <w:p>
            <w:pPr>
              <w:ind w:left="20"/>
              <w:spacing w:after="0" w:line="250" w:lineRule="exact"/>
              <w:rPr>
                <w:sz w:val="20"/>
                <w:szCs w:val="20"/>
                <w:color w:val="auto"/>
              </w:rPr>
            </w:pPr>
            <w:r>
              <w:rPr>
                <w:rFonts w:ascii="Times New Roman" w:cs="Times New Roman" w:eastAsia="Times New Roman" w:hAnsi="Times New Roman"/>
                <w:sz w:val="22"/>
                <w:szCs w:val="22"/>
                <w:color w:val="0563C1"/>
              </w:rPr>
              <w:t>Expenses; Indemnity; Damage Waiver</w:t>
            </w:r>
          </w:p>
        </w:tc>
        <w:tc>
          <w:tcPr>
            <w:tcW w:w="680" w:type="dxa"/>
            <w:vAlign w:val="bottom"/>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rPr>
              <w:t>180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3"/>
            <w:shd w:val="clear" w:color="auto" w:fill="0563C1"/>
          </w:tcPr>
          <w:p>
            <w:pPr>
              <w:spacing w:after="0" w:line="20" w:lineRule="exact"/>
              <w:rPr>
                <w:sz w:val="1"/>
                <w:szCs w:val="1"/>
                <w:color w:val="auto"/>
              </w:rPr>
            </w:pPr>
          </w:p>
        </w:tc>
        <w:tc>
          <w:tcPr>
            <w:tcW w:w="440" w:type="dxa"/>
            <w:vAlign w:val="bottom"/>
            <w:tcBorders>
              <w:left w:val="single" w:sz="8" w:color="0563C1"/>
            </w:tcBorders>
            <w:gridSpan w:val="4"/>
            <w:shd w:val="clear" w:color="auto" w:fill="0563C1"/>
          </w:tcPr>
          <w:p>
            <w:pPr>
              <w:spacing w:after="0" w:line="20" w:lineRule="exact"/>
              <w:rPr>
                <w:sz w:val="1"/>
                <w:szCs w:val="1"/>
                <w:color w:val="auto"/>
              </w:rPr>
            </w:pPr>
          </w:p>
        </w:tc>
        <w:tc>
          <w:tcPr>
            <w:tcW w:w="320" w:type="dxa"/>
            <w:vAlign w:val="bottom"/>
            <w:tcBorders>
              <w:left w:val="single" w:sz="8" w:color="0563C1"/>
            </w:tcBorders>
            <w:gridSpan w:val="3"/>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9.04</w:t>
            </w:r>
          </w:p>
        </w:tc>
        <w:tc>
          <w:tcPr>
            <w:tcW w:w="220" w:type="dxa"/>
            <w:vAlign w:val="bottom"/>
          </w:tcPr>
          <w:p>
            <w:pPr>
              <w:spacing w:after="0"/>
              <w:rPr>
                <w:sz w:val="21"/>
                <w:szCs w:val="21"/>
                <w:color w:val="auto"/>
              </w:rPr>
            </w:pPr>
          </w:p>
        </w:tc>
        <w:tc>
          <w:tcPr>
            <w:tcW w:w="2240" w:type="dxa"/>
            <w:vAlign w:val="bottom"/>
            <w:gridSpan w:val="20"/>
          </w:tcPr>
          <w:p>
            <w:pPr>
              <w:ind w:left="20"/>
              <w:spacing w:after="0" w:line="250" w:lineRule="exact"/>
              <w:rPr>
                <w:sz w:val="20"/>
                <w:szCs w:val="20"/>
                <w:color w:val="auto"/>
              </w:rPr>
            </w:pPr>
            <w:r>
              <w:rPr>
                <w:rFonts w:ascii="Times New Roman" w:cs="Times New Roman" w:eastAsia="Times New Roman" w:hAnsi="Times New Roman"/>
                <w:sz w:val="22"/>
                <w:szCs w:val="22"/>
                <w:color w:val="0563C1"/>
              </w:rPr>
              <w:t>Successors and Assigns</w:t>
            </w:r>
          </w:p>
        </w:tc>
        <w:tc>
          <w:tcPr>
            <w:tcW w:w="4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182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9.05</w:t>
            </w:r>
          </w:p>
        </w:tc>
        <w:tc>
          <w:tcPr>
            <w:tcW w:w="220" w:type="dxa"/>
            <w:vAlign w:val="bottom"/>
          </w:tcPr>
          <w:p>
            <w:pPr>
              <w:spacing w:after="0"/>
              <w:rPr>
                <w:sz w:val="20"/>
                <w:szCs w:val="20"/>
                <w:color w:val="auto"/>
              </w:rPr>
            </w:pPr>
          </w:p>
        </w:tc>
        <w:tc>
          <w:tcPr>
            <w:tcW w:w="860" w:type="dxa"/>
            <w:vAlign w:val="bottom"/>
            <w:gridSpan w:val="5"/>
          </w:tcPr>
          <w:p>
            <w:pPr>
              <w:ind w:left="20"/>
              <w:spacing w:after="0" w:line="237" w:lineRule="exact"/>
              <w:rPr>
                <w:sz w:val="20"/>
                <w:szCs w:val="20"/>
                <w:color w:val="auto"/>
              </w:rPr>
            </w:pPr>
            <w:r>
              <w:rPr>
                <w:rFonts w:ascii="Times New Roman" w:cs="Times New Roman" w:eastAsia="Times New Roman" w:hAnsi="Times New Roman"/>
                <w:sz w:val="22"/>
                <w:szCs w:val="22"/>
                <w:color w:val="0563C1"/>
              </w:rPr>
              <w:t>Survival</w:t>
            </w:r>
          </w:p>
        </w:tc>
        <w:tc>
          <w:tcPr>
            <w:tcW w:w="440" w:type="dxa"/>
            <w:vAlign w:val="bottom"/>
            <w:gridSpan w:val="6"/>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9.06</w:t>
            </w:r>
          </w:p>
        </w:tc>
        <w:tc>
          <w:tcPr>
            <w:tcW w:w="220" w:type="dxa"/>
            <w:vAlign w:val="bottom"/>
          </w:tcPr>
          <w:p>
            <w:pPr>
              <w:spacing w:after="0"/>
              <w:rPr>
                <w:sz w:val="21"/>
                <w:szCs w:val="21"/>
                <w:color w:val="auto"/>
              </w:rPr>
            </w:pPr>
          </w:p>
        </w:tc>
        <w:tc>
          <w:tcPr>
            <w:tcW w:w="3520" w:type="dxa"/>
            <w:vAlign w:val="bottom"/>
            <w:gridSpan w:val="30"/>
          </w:tcPr>
          <w:p>
            <w:pPr>
              <w:ind w:left="20"/>
              <w:spacing w:after="0" w:line="250" w:lineRule="exact"/>
              <w:rPr>
                <w:sz w:val="20"/>
                <w:szCs w:val="20"/>
                <w:color w:val="auto"/>
              </w:rPr>
            </w:pPr>
            <w:r>
              <w:rPr>
                <w:rFonts w:ascii="Times New Roman" w:cs="Times New Roman" w:eastAsia="Times New Roman" w:hAnsi="Times New Roman"/>
                <w:sz w:val="22"/>
                <w:szCs w:val="22"/>
                <w:color w:val="0563C1"/>
                <w:w w:val="98"/>
              </w:rPr>
              <w:t>Counterparts; Integration; Effectiveness</w:t>
            </w:r>
          </w:p>
        </w:tc>
        <w:tc>
          <w:tcPr>
            <w:tcW w:w="680" w:type="dxa"/>
            <w:vAlign w:val="bottom"/>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rPr>
              <w:t>189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34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9.07</w:t>
            </w:r>
          </w:p>
        </w:tc>
        <w:tc>
          <w:tcPr>
            <w:tcW w:w="220" w:type="dxa"/>
            <w:vAlign w:val="bottom"/>
          </w:tcPr>
          <w:p>
            <w:pPr>
              <w:spacing w:after="0"/>
              <w:rPr>
                <w:sz w:val="20"/>
                <w:szCs w:val="20"/>
                <w:color w:val="auto"/>
              </w:rPr>
            </w:pPr>
          </w:p>
        </w:tc>
        <w:tc>
          <w:tcPr>
            <w:tcW w:w="1120" w:type="dxa"/>
            <w:vAlign w:val="bottom"/>
            <w:gridSpan w:val="9"/>
          </w:tcPr>
          <w:p>
            <w:pPr>
              <w:ind w:left="20"/>
              <w:spacing w:after="0" w:line="237" w:lineRule="exact"/>
              <w:rPr>
                <w:sz w:val="20"/>
                <w:szCs w:val="20"/>
                <w:color w:val="auto"/>
              </w:rPr>
            </w:pPr>
            <w:r>
              <w:rPr>
                <w:rFonts w:ascii="Times New Roman" w:cs="Times New Roman" w:eastAsia="Times New Roman" w:hAnsi="Times New Roman"/>
                <w:sz w:val="22"/>
                <w:szCs w:val="22"/>
                <w:color w:val="0563C1"/>
              </w:rPr>
              <w:t>Severability</w:t>
            </w:r>
          </w:p>
        </w:tc>
        <w:tc>
          <w:tcPr>
            <w:tcW w:w="5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auto"/>
              </w:rPr>
              <w:t>190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9.08</w:t>
            </w:r>
          </w:p>
        </w:tc>
        <w:tc>
          <w:tcPr>
            <w:tcW w:w="220" w:type="dxa"/>
            <w:vAlign w:val="bottom"/>
          </w:tcPr>
          <w:p>
            <w:pPr>
              <w:spacing w:after="0"/>
              <w:rPr>
                <w:sz w:val="21"/>
                <w:szCs w:val="21"/>
                <w:color w:val="auto"/>
              </w:rPr>
            </w:pPr>
          </w:p>
        </w:tc>
        <w:tc>
          <w:tcPr>
            <w:tcW w:w="1400" w:type="dxa"/>
            <w:vAlign w:val="bottom"/>
            <w:gridSpan w:val="12"/>
          </w:tcPr>
          <w:p>
            <w:pPr>
              <w:ind w:left="20"/>
              <w:spacing w:after="0" w:line="250" w:lineRule="exact"/>
              <w:rPr>
                <w:sz w:val="20"/>
                <w:szCs w:val="20"/>
                <w:color w:val="auto"/>
              </w:rPr>
            </w:pPr>
            <w:r>
              <w:rPr>
                <w:rFonts w:ascii="Times New Roman" w:cs="Times New Roman" w:eastAsia="Times New Roman" w:hAnsi="Times New Roman"/>
                <w:sz w:val="22"/>
                <w:szCs w:val="22"/>
                <w:color w:val="0563C1"/>
              </w:rPr>
              <w:t>Right of Setoff</w:t>
            </w:r>
          </w:p>
        </w:tc>
        <w:tc>
          <w:tcPr>
            <w:tcW w:w="580" w:type="dxa"/>
            <w:vAlign w:val="bottom"/>
            <w:gridSpan w:val="5"/>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rPr>
              <w:t>191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360" w:type="dxa"/>
            <w:vAlign w:val="bottom"/>
            <w:tcBorders>
              <w:left w:val="single" w:sz="8" w:color="0563C1"/>
            </w:tcBorders>
            <w:gridSpan w:val="5"/>
            <w:shd w:val="clear" w:color="auto" w:fill="0563C1"/>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9.09</w:t>
            </w:r>
          </w:p>
        </w:tc>
        <w:tc>
          <w:tcPr>
            <w:tcW w:w="220" w:type="dxa"/>
            <w:vAlign w:val="bottom"/>
          </w:tcPr>
          <w:p>
            <w:pPr>
              <w:spacing w:after="0"/>
              <w:rPr>
                <w:sz w:val="21"/>
                <w:szCs w:val="21"/>
                <w:color w:val="auto"/>
              </w:rPr>
            </w:pPr>
          </w:p>
        </w:tc>
        <w:tc>
          <w:tcPr>
            <w:tcW w:w="5340" w:type="dxa"/>
            <w:vAlign w:val="bottom"/>
            <w:gridSpan w:val="37"/>
          </w:tcPr>
          <w:p>
            <w:pPr>
              <w:ind w:left="20"/>
              <w:spacing w:after="0" w:line="250" w:lineRule="exact"/>
              <w:rPr>
                <w:sz w:val="20"/>
                <w:szCs w:val="20"/>
                <w:color w:val="auto"/>
              </w:rPr>
            </w:pPr>
            <w:r>
              <w:rPr>
                <w:rFonts w:ascii="Times New Roman" w:cs="Times New Roman" w:eastAsia="Times New Roman" w:hAnsi="Times New Roman"/>
                <w:sz w:val="22"/>
                <w:szCs w:val="22"/>
                <w:color w:val="0563C1"/>
              </w:rPr>
              <w:t>Governing Law; Jurisdiction; Consent to Service of Process</w:t>
            </w:r>
          </w:p>
        </w:tc>
        <w:tc>
          <w:tcPr>
            <w:tcW w:w="44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191</w:t>
            </w: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360" w:type="dxa"/>
            <w:vAlign w:val="bottom"/>
            <w:tcBorders>
              <w:left w:val="single" w:sz="8" w:color="0563C1"/>
            </w:tcBorders>
            <w:gridSpan w:val="5"/>
            <w:shd w:val="clear" w:color="auto" w:fill="0563C1"/>
          </w:tcPr>
          <w:p>
            <w:pPr>
              <w:spacing w:after="0" w:line="20" w:lineRule="exact"/>
              <w:rPr>
                <w:sz w:val="1"/>
                <w:szCs w:val="1"/>
                <w:color w:val="auto"/>
              </w:rPr>
            </w:pPr>
          </w:p>
        </w:tc>
        <w:tc>
          <w:tcPr>
            <w:tcW w:w="440" w:type="dxa"/>
            <w:vAlign w:val="bottom"/>
            <w:tcBorders>
              <w:left w:val="single" w:sz="8" w:color="0563C1"/>
            </w:tcBorders>
            <w:gridSpan w:val="4"/>
            <w:shd w:val="clear" w:color="auto" w:fill="0563C1"/>
          </w:tcPr>
          <w:p>
            <w:pPr>
              <w:spacing w:after="0" w:line="20" w:lineRule="exact"/>
              <w:rPr>
                <w:sz w:val="1"/>
                <w:szCs w:val="1"/>
                <w:color w:val="auto"/>
              </w:rPr>
            </w:pPr>
          </w:p>
        </w:tc>
        <w:tc>
          <w:tcPr>
            <w:tcW w:w="320" w:type="dxa"/>
            <w:vAlign w:val="bottom"/>
            <w:tcBorders>
              <w:left w:val="single" w:sz="8" w:color="0563C1"/>
            </w:tcBorders>
            <w:gridSpan w:val="3"/>
            <w:shd w:val="clear" w:color="auto" w:fill="0563C1"/>
          </w:tcPr>
          <w:p>
            <w:pPr>
              <w:spacing w:after="0" w:line="20" w:lineRule="exact"/>
              <w:rPr>
                <w:sz w:val="1"/>
                <w:szCs w:val="1"/>
                <w:color w:val="auto"/>
              </w:rPr>
            </w:pPr>
          </w:p>
        </w:tc>
        <w:tc>
          <w:tcPr>
            <w:tcW w:w="380" w:type="dxa"/>
            <w:vAlign w:val="bottom"/>
            <w:tcBorders>
              <w:left w:val="single" w:sz="8" w:color="0563C1"/>
            </w:tcBorders>
            <w:gridSpan w:val="4"/>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20" w:type="dxa"/>
            <w:vAlign w:val="bottom"/>
            <w:gridSpan w:val="4"/>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9.10</w:t>
            </w:r>
          </w:p>
        </w:tc>
        <w:tc>
          <w:tcPr>
            <w:tcW w:w="220" w:type="dxa"/>
            <w:vAlign w:val="bottom"/>
          </w:tcPr>
          <w:p>
            <w:pPr>
              <w:spacing w:after="0"/>
              <w:rPr>
                <w:sz w:val="20"/>
                <w:szCs w:val="20"/>
                <w:color w:val="auto"/>
              </w:rPr>
            </w:pPr>
          </w:p>
        </w:tc>
        <w:tc>
          <w:tcPr>
            <w:tcW w:w="2560" w:type="dxa"/>
            <w:vAlign w:val="bottom"/>
            <w:gridSpan w:val="23"/>
          </w:tcPr>
          <w:p>
            <w:pPr>
              <w:ind w:left="20"/>
              <w:spacing w:after="0" w:line="237" w:lineRule="exact"/>
              <w:rPr>
                <w:sz w:val="20"/>
                <w:szCs w:val="20"/>
                <w:color w:val="auto"/>
              </w:rPr>
            </w:pPr>
            <w:r>
              <w:rPr>
                <w:rFonts w:ascii="Times New Roman" w:cs="Times New Roman" w:eastAsia="Times New Roman" w:hAnsi="Times New Roman"/>
                <w:sz w:val="22"/>
                <w:szCs w:val="22"/>
                <w:color w:val="0563C1"/>
                <w:w w:val="99"/>
              </w:rPr>
              <w:t>WAIVER OF JURY TRIAL</w:t>
            </w:r>
          </w:p>
        </w:tc>
        <w:tc>
          <w:tcPr>
            <w:tcW w:w="620" w:type="dxa"/>
            <w:vAlign w:val="bottom"/>
            <w:gridSpan w:val="4"/>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rPr>
              <w:t>193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5"/>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9.11</w:t>
            </w:r>
          </w:p>
        </w:tc>
        <w:tc>
          <w:tcPr>
            <w:tcW w:w="1080" w:type="dxa"/>
            <w:vAlign w:val="bottom"/>
            <w:gridSpan w:val="6"/>
          </w:tcPr>
          <w:p>
            <w:pPr>
              <w:ind w:left="220"/>
              <w:spacing w:after="0" w:line="250" w:lineRule="exact"/>
              <w:rPr>
                <w:sz w:val="20"/>
                <w:szCs w:val="20"/>
                <w:color w:val="auto"/>
              </w:rPr>
            </w:pPr>
            <w:r>
              <w:rPr>
                <w:rFonts w:ascii="Times New Roman" w:cs="Times New Roman" w:eastAsia="Times New Roman" w:hAnsi="Times New Roman"/>
                <w:sz w:val="22"/>
                <w:szCs w:val="22"/>
                <w:color w:val="0563C1"/>
              </w:rPr>
              <w:t>Headings</w:t>
            </w:r>
          </w:p>
        </w:tc>
        <w:tc>
          <w:tcPr>
            <w:tcW w:w="540" w:type="dxa"/>
            <w:vAlign w:val="bottom"/>
            <w:gridSpan w:val="7"/>
          </w:tcPr>
          <w:p>
            <w:pPr>
              <w:jc w:val="right"/>
              <w:ind w:right="40"/>
              <w:spacing w:after="0" w:line="250" w:lineRule="exact"/>
              <w:rPr>
                <w:sz w:val="20"/>
                <w:szCs w:val="20"/>
                <w:color w:val="auto"/>
              </w:rPr>
            </w:pPr>
            <w:r>
              <w:rPr>
                <w:rFonts w:ascii="Times New Roman" w:cs="Times New Roman" w:eastAsia="Times New Roman" w:hAnsi="Times New Roman"/>
                <w:sz w:val="22"/>
                <w:szCs w:val="22"/>
                <w:color w:val="auto"/>
              </w:rPr>
              <w:t>193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9.12</w:t>
            </w:r>
          </w:p>
        </w:tc>
        <w:tc>
          <w:tcPr>
            <w:tcW w:w="220" w:type="dxa"/>
            <w:vAlign w:val="bottom"/>
          </w:tcPr>
          <w:p>
            <w:pPr>
              <w:spacing w:after="0"/>
              <w:rPr>
                <w:sz w:val="20"/>
                <w:szCs w:val="20"/>
                <w:color w:val="auto"/>
              </w:rPr>
            </w:pPr>
          </w:p>
        </w:tc>
        <w:tc>
          <w:tcPr>
            <w:tcW w:w="1400" w:type="dxa"/>
            <w:vAlign w:val="bottom"/>
            <w:gridSpan w:val="12"/>
          </w:tcPr>
          <w:p>
            <w:pPr>
              <w:ind w:left="20"/>
              <w:spacing w:after="0" w:line="237" w:lineRule="exact"/>
              <w:rPr>
                <w:sz w:val="20"/>
                <w:szCs w:val="20"/>
                <w:color w:val="auto"/>
              </w:rPr>
            </w:pPr>
            <w:r>
              <w:rPr>
                <w:rFonts w:ascii="Times New Roman" w:cs="Times New Roman" w:eastAsia="Times New Roman" w:hAnsi="Times New Roman"/>
                <w:sz w:val="22"/>
                <w:szCs w:val="22"/>
                <w:color w:val="0563C1"/>
              </w:rPr>
              <w:t>Confidentiality</w:t>
            </w:r>
          </w:p>
        </w:tc>
        <w:tc>
          <w:tcPr>
            <w:tcW w:w="140" w:type="dxa"/>
            <w:vAlign w:val="bottom"/>
          </w:tcPr>
          <w:p>
            <w:pPr>
              <w:spacing w:after="0"/>
              <w:rPr>
                <w:sz w:val="20"/>
                <w:szCs w:val="20"/>
                <w:color w:val="auto"/>
              </w:rPr>
            </w:pPr>
          </w:p>
        </w:tc>
        <w:tc>
          <w:tcPr>
            <w:tcW w:w="440" w:type="dxa"/>
            <w:vAlign w:val="bottom"/>
            <w:gridSpan w:val="4"/>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193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9.13</w:t>
            </w:r>
          </w:p>
        </w:tc>
        <w:tc>
          <w:tcPr>
            <w:tcW w:w="220" w:type="dxa"/>
            <w:vAlign w:val="bottom"/>
          </w:tcPr>
          <w:p>
            <w:pPr>
              <w:spacing w:after="0"/>
              <w:rPr>
                <w:sz w:val="21"/>
                <w:szCs w:val="21"/>
                <w:color w:val="auto"/>
              </w:rPr>
            </w:pPr>
          </w:p>
        </w:tc>
        <w:tc>
          <w:tcPr>
            <w:tcW w:w="4520" w:type="dxa"/>
            <w:vAlign w:val="bottom"/>
            <w:gridSpan w:val="34"/>
          </w:tcPr>
          <w:p>
            <w:pPr>
              <w:ind w:left="20"/>
              <w:spacing w:after="0" w:line="250" w:lineRule="exact"/>
              <w:rPr>
                <w:sz w:val="20"/>
                <w:szCs w:val="20"/>
                <w:color w:val="auto"/>
              </w:rPr>
            </w:pPr>
            <w:r>
              <w:rPr>
                <w:rFonts w:ascii="Times New Roman" w:cs="Times New Roman" w:eastAsia="Times New Roman" w:hAnsi="Times New Roman"/>
                <w:sz w:val="22"/>
                <w:szCs w:val="22"/>
                <w:color w:val="0563C1"/>
                <w:w w:val="98"/>
              </w:rPr>
              <w:t>Several Obligations; Nonreliance; Violation of Law</w:t>
            </w:r>
          </w:p>
        </w:tc>
        <w:tc>
          <w:tcPr>
            <w:tcW w:w="680" w:type="dxa"/>
            <w:vAlign w:val="bottom"/>
            <w:gridSpan w:val="2"/>
          </w:tcPr>
          <w:p>
            <w:pPr>
              <w:jc w:val="right"/>
              <w:ind w:right="180"/>
              <w:spacing w:after="0" w:line="250" w:lineRule="exact"/>
              <w:rPr>
                <w:sz w:val="20"/>
                <w:szCs w:val="20"/>
                <w:color w:val="auto"/>
              </w:rPr>
            </w:pPr>
            <w:r>
              <w:rPr>
                <w:rFonts w:ascii="Times New Roman" w:cs="Times New Roman" w:eastAsia="Times New Roman" w:hAnsi="Times New Roman"/>
                <w:sz w:val="22"/>
                <w:szCs w:val="22"/>
                <w:color w:val="auto"/>
              </w:rPr>
              <w:t>195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5"/>
            <w:shd w:val="clear" w:color="auto" w:fill="0563C1"/>
          </w:tcPr>
          <w:p>
            <w:pPr>
              <w:spacing w:after="0" w:line="20" w:lineRule="exact"/>
              <w:rPr>
                <w:sz w:val="1"/>
                <w:szCs w:val="1"/>
                <w:color w:val="auto"/>
              </w:rPr>
            </w:pPr>
          </w:p>
        </w:tc>
        <w:tc>
          <w:tcPr>
            <w:tcW w:w="800" w:type="dxa"/>
            <w:vAlign w:val="bottom"/>
            <w:tcBorders>
              <w:left w:val="single" w:sz="8" w:color="0563C1"/>
            </w:tcBorders>
            <w:gridSpan w:val="9"/>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3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9.14</w:t>
            </w:r>
          </w:p>
        </w:tc>
        <w:tc>
          <w:tcPr>
            <w:tcW w:w="220" w:type="dxa"/>
            <w:vAlign w:val="bottom"/>
          </w:tcPr>
          <w:p>
            <w:pPr>
              <w:spacing w:after="0"/>
              <w:rPr>
                <w:sz w:val="21"/>
                <w:szCs w:val="21"/>
                <w:color w:val="auto"/>
              </w:rPr>
            </w:pPr>
          </w:p>
        </w:tc>
        <w:tc>
          <w:tcPr>
            <w:tcW w:w="1800" w:type="dxa"/>
            <w:vAlign w:val="bottom"/>
            <w:gridSpan w:val="16"/>
          </w:tcPr>
          <w:p>
            <w:pPr>
              <w:ind w:left="20"/>
              <w:spacing w:after="0" w:line="250" w:lineRule="exact"/>
              <w:rPr>
                <w:sz w:val="20"/>
                <w:szCs w:val="20"/>
                <w:color w:val="auto"/>
              </w:rPr>
            </w:pPr>
            <w:r>
              <w:rPr>
                <w:rFonts w:ascii="Times New Roman" w:cs="Times New Roman" w:eastAsia="Times New Roman" w:hAnsi="Times New Roman"/>
                <w:sz w:val="22"/>
                <w:szCs w:val="22"/>
                <w:color w:val="0563C1"/>
                <w:w w:val="97"/>
              </w:rPr>
              <w:t>USA PATRIOT Act</w:t>
            </w:r>
          </w:p>
        </w:tc>
        <w:tc>
          <w:tcPr>
            <w:tcW w:w="56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195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5"/>
            <w:shd w:val="clear" w:color="auto" w:fill="0563C1"/>
          </w:tcPr>
          <w:p>
            <w:pPr>
              <w:spacing w:after="0" w:line="20" w:lineRule="exact"/>
              <w:rPr>
                <w:sz w:val="1"/>
                <w:szCs w:val="1"/>
                <w:color w:val="auto"/>
              </w:rPr>
            </w:pPr>
          </w:p>
        </w:tc>
        <w:tc>
          <w:tcPr>
            <w:tcW w:w="800" w:type="dxa"/>
            <w:vAlign w:val="bottom"/>
            <w:tcBorders>
              <w:left w:val="single" w:sz="8" w:color="0563C1"/>
            </w:tcBorders>
            <w:gridSpan w:val="9"/>
            <w:shd w:val="clear" w:color="auto" w:fill="0563C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3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3"/>
              </w:rPr>
              <w:t>SECTION 9.15</w:t>
            </w:r>
          </w:p>
        </w:tc>
        <w:tc>
          <w:tcPr>
            <w:tcW w:w="220" w:type="dxa"/>
            <w:vAlign w:val="bottom"/>
          </w:tcPr>
          <w:p>
            <w:pPr>
              <w:spacing w:after="0"/>
              <w:rPr>
                <w:sz w:val="20"/>
                <w:szCs w:val="20"/>
                <w:color w:val="auto"/>
              </w:rPr>
            </w:pPr>
          </w:p>
        </w:tc>
        <w:tc>
          <w:tcPr>
            <w:tcW w:w="2240" w:type="dxa"/>
            <w:vAlign w:val="bottom"/>
            <w:gridSpan w:val="20"/>
          </w:tcPr>
          <w:p>
            <w:pPr>
              <w:ind w:left="20"/>
              <w:spacing w:after="0" w:line="237" w:lineRule="exact"/>
              <w:rPr>
                <w:sz w:val="20"/>
                <w:szCs w:val="20"/>
                <w:color w:val="auto"/>
              </w:rPr>
            </w:pPr>
            <w:r>
              <w:rPr>
                <w:rFonts w:ascii="Times New Roman" w:cs="Times New Roman" w:eastAsia="Times New Roman" w:hAnsi="Times New Roman"/>
                <w:sz w:val="22"/>
                <w:szCs w:val="22"/>
                <w:color w:val="0563C1"/>
              </w:rPr>
              <w:t>Interest Rate Limitation</w:t>
            </w:r>
          </w:p>
        </w:tc>
        <w:tc>
          <w:tcPr>
            <w:tcW w:w="4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195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3"/>
              </w:rPr>
              <w:t>SECTION 9.16</w:t>
            </w:r>
          </w:p>
        </w:tc>
        <w:tc>
          <w:tcPr>
            <w:tcW w:w="220" w:type="dxa"/>
            <w:vAlign w:val="bottom"/>
          </w:tcPr>
          <w:p>
            <w:pPr>
              <w:spacing w:after="0"/>
              <w:rPr>
                <w:sz w:val="21"/>
                <w:szCs w:val="21"/>
                <w:color w:val="auto"/>
              </w:rPr>
            </w:pPr>
          </w:p>
        </w:tc>
        <w:tc>
          <w:tcPr>
            <w:tcW w:w="1120" w:type="dxa"/>
            <w:vAlign w:val="bottom"/>
            <w:gridSpan w:val="9"/>
          </w:tcPr>
          <w:p>
            <w:pPr>
              <w:ind w:left="20"/>
              <w:spacing w:after="0" w:line="250" w:lineRule="exact"/>
              <w:rPr>
                <w:sz w:val="20"/>
                <w:szCs w:val="20"/>
                <w:color w:val="auto"/>
              </w:rPr>
            </w:pPr>
            <w:r>
              <w:rPr>
                <w:rFonts w:ascii="Times New Roman" w:cs="Times New Roman" w:eastAsia="Times New Roman" w:hAnsi="Times New Roman"/>
                <w:sz w:val="22"/>
                <w:szCs w:val="22"/>
                <w:color w:val="0563C1"/>
              </w:rPr>
              <w:t>Disclosure</w:t>
            </w:r>
          </w:p>
        </w:tc>
        <w:tc>
          <w:tcPr>
            <w:tcW w:w="4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195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99"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9.17</w:t>
            </w: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0563C1"/>
              </w:rPr>
              <w:t>[Reserved]</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196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6"/>
              </w:rPr>
              <w:t>SECTION 9.18</w:t>
            </w:r>
          </w:p>
        </w:tc>
        <w:tc>
          <w:tcPr>
            <w:tcW w:w="7320" w:type="dxa"/>
            <w:vAlign w:val="bottom"/>
            <w:gridSpan w:val="13"/>
          </w:tcPr>
          <w:p>
            <w:pPr>
              <w:ind w:left="220"/>
              <w:spacing w:after="0" w:line="250" w:lineRule="exact"/>
              <w:rPr>
                <w:sz w:val="20"/>
                <w:szCs w:val="20"/>
                <w:color w:val="auto"/>
              </w:rPr>
            </w:pPr>
            <w:r>
              <w:rPr>
                <w:rFonts w:ascii="Times New Roman" w:cs="Times New Roman" w:eastAsia="Times New Roman" w:hAnsi="Times New Roman"/>
                <w:sz w:val="22"/>
                <w:szCs w:val="22"/>
                <w:color w:val="0563C1"/>
                <w:w w:val="99"/>
              </w:rPr>
              <w:t xml:space="preserve">Acknowledgement and Consent to Bail-In of Affected Financial Institutions  </w:t>
            </w:r>
            <w:r>
              <w:rPr>
                <w:rFonts w:ascii="Times New Roman" w:cs="Times New Roman" w:eastAsia="Times New Roman" w:hAnsi="Times New Roman"/>
                <w:sz w:val="22"/>
                <w:szCs w:val="22"/>
                <w:color w:val="000000"/>
                <w:w w:val="99"/>
              </w:rPr>
              <w:t>196</w:t>
            </w: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563C1"/>
          </w:tcPr>
          <w:p>
            <w:pPr>
              <w:spacing w:after="0" w:line="20" w:lineRule="exact"/>
              <w:rPr>
                <w:sz w:val="1"/>
                <w:szCs w:val="1"/>
                <w:color w:val="auto"/>
              </w:rPr>
            </w:pPr>
          </w:p>
        </w:tc>
        <w:tc>
          <w:tcPr>
            <w:tcW w:w="64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340" w:type="dxa"/>
            <w:vAlign w:val="bottom"/>
            <w:gridSpan w:val="2"/>
            <w:shd w:val="clear" w:color="auto" w:fill="0563C1"/>
          </w:tcPr>
          <w:p>
            <w:pPr>
              <w:spacing w:after="0" w:line="20" w:lineRule="exact"/>
              <w:rPr>
                <w:sz w:val="1"/>
                <w:szCs w:val="1"/>
                <w:color w:val="auto"/>
              </w:rPr>
            </w:pPr>
          </w:p>
        </w:tc>
        <w:tc>
          <w:tcPr>
            <w:tcW w:w="2060" w:type="dxa"/>
            <w:vAlign w:val="bottom"/>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6"/>
              </w:rPr>
              <w:t>SECTION 9.19</w:t>
            </w:r>
          </w:p>
        </w:tc>
        <w:tc>
          <w:tcPr>
            <w:tcW w:w="7320" w:type="dxa"/>
            <w:vAlign w:val="bottom"/>
            <w:gridSpan w:val="13"/>
          </w:tcPr>
          <w:p>
            <w:pPr>
              <w:ind w:left="220"/>
              <w:spacing w:after="0" w:line="237" w:lineRule="exact"/>
              <w:rPr>
                <w:sz w:val="20"/>
                <w:szCs w:val="20"/>
                <w:color w:val="auto"/>
              </w:rPr>
            </w:pPr>
            <w:r>
              <w:rPr>
                <w:rFonts w:ascii="Times New Roman" w:cs="Times New Roman" w:eastAsia="Times New Roman" w:hAnsi="Times New Roman"/>
                <w:sz w:val="22"/>
                <w:szCs w:val="22"/>
                <w:color w:val="0563C1"/>
              </w:rPr>
              <w:t xml:space="preserve">Acknowledgement Regarding Any Supported QFCs  </w:t>
            </w:r>
            <w:r>
              <w:rPr>
                <w:rFonts w:ascii="Times New Roman" w:cs="Times New Roman" w:eastAsia="Times New Roman" w:hAnsi="Times New Roman"/>
                <w:sz w:val="22"/>
                <w:szCs w:val="22"/>
                <w:color w:val="000000"/>
              </w:rPr>
              <w:t>196</w:t>
            </w: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320" w:type="dxa"/>
            <w:vAlign w:val="bottom"/>
            <w:shd w:val="clear" w:color="auto" w:fill="0563C1"/>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6"/>
              </w:rPr>
              <w:t>SECTION 9.20</w:t>
            </w:r>
          </w:p>
        </w:tc>
        <w:tc>
          <w:tcPr>
            <w:tcW w:w="1320" w:type="dxa"/>
            <w:vAlign w:val="bottom"/>
            <w:gridSpan w:val="4"/>
          </w:tcPr>
          <w:p>
            <w:pPr>
              <w:ind w:left="220"/>
              <w:spacing w:after="0" w:line="250" w:lineRule="exact"/>
              <w:rPr>
                <w:sz w:val="20"/>
                <w:szCs w:val="20"/>
                <w:color w:val="auto"/>
              </w:rPr>
            </w:pPr>
            <w:r>
              <w:rPr>
                <w:rFonts w:ascii="Times New Roman" w:cs="Times New Roman" w:eastAsia="Times New Roman" w:hAnsi="Times New Roman"/>
                <w:sz w:val="22"/>
                <w:szCs w:val="22"/>
                <w:color w:val="0563C1"/>
              </w:rPr>
              <w:t>[Reserved]</w:t>
            </w:r>
          </w:p>
        </w:tc>
        <w:tc>
          <w:tcPr>
            <w:tcW w:w="560" w:type="dxa"/>
            <w:vAlign w:val="bottom"/>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rPr>
              <w:t>197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6"/>
              </w:rPr>
              <w:t>SECTION 9.21</w:t>
            </w:r>
          </w:p>
        </w:tc>
        <w:tc>
          <w:tcPr>
            <w:tcW w:w="2400" w:type="dxa"/>
            <w:vAlign w:val="bottom"/>
            <w:gridSpan w:val="10"/>
          </w:tcPr>
          <w:p>
            <w:pPr>
              <w:ind w:left="220"/>
              <w:spacing w:after="0" w:line="237" w:lineRule="exact"/>
              <w:rPr>
                <w:sz w:val="20"/>
                <w:szCs w:val="20"/>
                <w:color w:val="auto"/>
              </w:rPr>
            </w:pPr>
            <w:r>
              <w:rPr>
                <w:rFonts w:ascii="Times New Roman" w:cs="Times New Roman" w:eastAsia="Times New Roman" w:hAnsi="Times New Roman"/>
                <w:sz w:val="22"/>
                <w:szCs w:val="22"/>
                <w:color w:val="0563C1"/>
              </w:rPr>
              <w:t>No Fiduciary Duty, etc</w:t>
            </w:r>
          </w:p>
        </w:tc>
        <w:tc>
          <w:tcPr>
            <w:tcW w:w="2320" w:type="dxa"/>
            <w:vAlign w:val="bottom"/>
          </w:tcPr>
          <w:p>
            <w:pPr>
              <w:jc w:val="right"/>
              <w:ind w:right="1872"/>
              <w:spacing w:after="0" w:line="237" w:lineRule="exact"/>
              <w:rPr>
                <w:sz w:val="20"/>
                <w:szCs w:val="20"/>
                <w:color w:val="auto"/>
              </w:rPr>
            </w:pPr>
            <w:r>
              <w:rPr>
                <w:rFonts w:ascii="Times New Roman" w:cs="Times New Roman" w:eastAsia="Times New Roman" w:hAnsi="Times New Roman"/>
                <w:sz w:val="22"/>
                <w:szCs w:val="22"/>
                <w:color w:val="auto"/>
                <w:w w:val="96"/>
              </w:rPr>
              <w:t>197</w:t>
            </w: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563C1"/>
          </w:tcPr>
          <w:p>
            <w:pPr>
              <w:spacing w:after="0" w:line="20" w:lineRule="exact"/>
              <w:rPr>
                <w:sz w:val="1"/>
                <w:szCs w:val="1"/>
                <w:color w:val="auto"/>
              </w:rPr>
            </w:pPr>
          </w:p>
        </w:tc>
        <w:tc>
          <w:tcPr>
            <w:tcW w:w="64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6"/>
              </w:rPr>
              <w:t>SECTION 9.22</w:t>
            </w:r>
          </w:p>
        </w:tc>
        <w:tc>
          <w:tcPr>
            <w:tcW w:w="2000" w:type="dxa"/>
            <w:vAlign w:val="bottom"/>
            <w:gridSpan w:val="7"/>
          </w:tcPr>
          <w:p>
            <w:pPr>
              <w:ind w:left="220"/>
              <w:spacing w:after="0" w:line="250" w:lineRule="exact"/>
              <w:rPr>
                <w:sz w:val="20"/>
                <w:szCs w:val="20"/>
                <w:color w:val="auto"/>
              </w:rPr>
            </w:pPr>
            <w:r>
              <w:rPr>
                <w:rFonts w:ascii="Times New Roman" w:cs="Times New Roman" w:eastAsia="Times New Roman" w:hAnsi="Times New Roman"/>
                <w:sz w:val="22"/>
                <w:szCs w:val="22"/>
                <w:color w:val="0563C1"/>
              </w:rPr>
              <w:t>Marketing Consent</w:t>
            </w:r>
          </w:p>
        </w:tc>
        <w:tc>
          <w:tcPr>
            <w:tcW w:w="2720" w:type="dxa"/>
            <w:vAlign w:val="bottom"/>
            <w:gridSpan w:val="4"/>
          </w:tcPr>
          <w:p>
            <w:pPr>
              <w:jc w:val="right"/>
              <w:ind w:right="2192"/>
              <w:spacing w:after="0" w:line="250" w:lineRule="exact"/>
              <w:rPr>
                <w:sz w:val="20"/>
                <w:szCs w:val="20"/>
                <w:color w:val="auto"/>
              </w:rPr>
            </w:pPr>
            <w:r>
              <w:rPr>
                <w:rFonts w:ascii="Times New Roman" w:cs="Times New Roman" w:eastAsia="Times New Roman" w:hAnsi="Times New Roman"/>
                <w:sz w:val="22"/>
                <w:szCs w:val="22"/>
                <w:color w:val="auto"/>
              </w:rPr>
              <w:t>198</w:t>
            </w:r>
          </w:p>
        </w:tc>
        <w:tc>
          <w:tcPr>
            <w:tcW w:w="20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6"/>
              </w:rPr>
              <w:t>SECTION 9.23</w:t>
            </w:r>
          </w:p>
        </w:tc>
        <w:tc>
          <w:tcPr>
            <w:tcW w:w="1320" w:type="dxa"/>
            <w:vAlign w:val="bottom"/>
            <w:gridSpan w:val="4"/>
          </w:tcPr>
          <w:p>
            <w:pPr>
              <w:ind w:left="220"/>
              <w:spacing w:after="0" w:line="250" w:lineRule="exact"/>
              <w:rPr>
                <w:sz w:val="20"/>
                <w:szCs w:val="20"/>
                <w:color w:val="auto"/>
              </w:rPr>
            </w:pPr>
            <w:r>
              <w:rPr>
                <w:rFonts w:ascii="Times New Roman" w:cs="Times New Roman" w:eastAsia="Times New Roman" w:hAnsi="Times New Roman"/>
                <w:sz w:val="22"/>
                <w:szCs w:val="22"/>
                <w:color w:val="0563C1"/>
              </w:rPr>
              <w:t>No Conflict</w:t>
            </w:r>
          </w:p>
        </w:tc>
        <w:tc>
          <w:tcPr>
            <w:tcW w:w="56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198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563C1"/>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6"/>
              </w:rPr>
              <w:t>SECTION 9.24</w:t>
            </w:r>
          </w:p>
        </w:tc>
        <w:tc>
          <w:tcPr>
            <w:tcW w:w="2000" w:type="dxa"/>
            <w:vAlign w:val="bottom"/>
            <w:gridSpan w:val="7"/>
          </w:tcPr>
          <w:p>
            <w:pPr>
              <w:ind w:left="220"/>
              <w:spacing w:after="0" w:line="237" w:lineRule="exact"/>
              <w:rPr>
                <w:sz w:val="20"/>
                <w:szCs w:val="20"/>
                <w:color w:val="auto"/>
              </w:rPr>
            </w:pPr>
            <w:r>
              <w:rPr>
                <w:rFonts w:ascii="Times New Roman" w:cs="Times New Roman" w:eastAsia="Times New Roman" w:hAnsi="Times New Roman"/>
                <w:sz w:val="22"/>
                <w:szCs w:val="22"/>
                <w:color w:val="0563C1"/>
              </w:rPr>
              <w:t>Judgment Currency</w:t>
            </w:r>
          </w:p>
        </w:tc>
        <w:tc>
          <w:tcPr>
            <w:tcW w:w="2720" w:type="dxa"/>
            <w:vAlign w:val="bottom"/>
            <w:gridSpan w:val="4"/>
          </w:tcPr>
          <w:p>
            <w:pPr>
              <w:jc w:val="right"/>
              <w:ind w:right="2152"/>
              <w:spacing w:after="0" w:line="237" w:lineRule="exact"/>
              <w:rPr>
                <w:sz w:val="20"/>
                <w:szCs w:val="20"/>
                <w:color w:val="auto"/>
              </w:rPr>
            </w:pPr>
            <w:r>
              <w:rPr>
                <w:rFonts w:ascii="Times New Roman" w:cs="Times New Roman" w:eastAsia="Times New Roman" w:hAnsi="Times New Roman"/>
                <w:sz w:val="22"/>
                <w:szCs w:val="22"/>
                <w:color w:val="auto"/>
              </w:rPr>
              <w:t>198</w:t>
            </w: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5"/>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563C1"/>
                <w:w w:val="96"/>
              </w:rPr>
              <w:t>SECTION 9.25</w:t>
            </w:r>
          </w:p>
        </w:tc>
        <w:tc>
          <w:tcPr>
            <w:tcW w:w="2400" w:type="dxa"/>
            <w:vAlign w:val="bottom"/>
            <w:gridSpan w:val="10"/>
          </w:tcPr>
          <w:p>
            <w:pPr>
              <w:ind w:left="220"/>
              <w:spacing w:after="0" w:line="250" w:lineRule="exact"/>
              <w:rPr>
                <w:sz w:val="20"/>
                <w:szCs w:val="20"/>
                <w:color w:val="auto"/>
              </w:rPr>
            </w:pPr>
            <w:r>
              <w:rPr>
                <w:rFonts w:ascii="Times New Roman" w:cs="Times New Roman" w:eastAsia="Times New Roman" w:hAnsi="Times New Roman"/>
                <w:sz w:val="22"/>
                <w:szCs w:val="22"/>
                <w:color w:val="0563C1"/>
                <w:w w:val="97"/>
              </w:rPr>
              <w:t>Borrower Representative</w:t>
            </w:r>
          </w:p>
        </w:tc>
        <w:tc>
          <w:tcPr>
            <w:tcW w:w="2320" w:type="dxa"/>
            <w:vAlign w:val="bottom"/>
          </w:tcPr>
          <w:p>
            <w:pPr>
              <w:jc w:val="right"/>
              <w:ind w:right="1692"/>
              <w:spacing w:after="0" w:line="250" w:lineRule="exact"/>
              <w:rPr>
                <w:sz w:val="20"/>
                <w:szCs w:val="20"/>
                <w:color w:val="auto"/>
              </w:rPr>
            </w:pPr>
            <w:r>
              <w:rPr>
                <w:rFonts w:ascii="Times New Roman" w:cs="Times New Roman" w:eastAsia="Times New Roman" w:hAnsi="Times New Roman"/>
                <w:sz w:val="22"/>
                <w:szCs w:val="22"/>
                <w:color w:val="auto"/>
              </w:rPr>
              <w:t>198</w:t>
            </w:r>
          </w:p>
        </w:tc>
        <w:tc>
          <w:tcPr>
            <w:tcW w:w="20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7"/>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r>
      <w:tr>
        <w:trPr>
          <w:trHeight w:val="237"/>
        </w:trPr>
        <w:tc>
          <w:tcPr>
            <w:tcW w:w="13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563C1"/>
                <w:w w:val="96"/>
              </w:rPr>
              <w:t>SECTION 9.26</w:t>
            </w:r>
          </w:p>
        </w:tc>
        <w:tc>
          <w:tcPr>
            <w:tcW w:w="7320" w:type="dxa"/>
            <w:vAlign w:val="bottom"/>
            <w:gridSpan w:val="13"/>
          </w:tcPr>
          <w:p>
            <w:pPr>
              <w:ind w:left="220"/>
              <w:spacing w:after="0" w:line="237" w:lineRule="exact"/>
              <w:rPr>
                <w:sz w:val="20"/>
                <w:szCs w:val="20"/>
                <w:color w:val="auto"/>
              </w:rPr>
            </w:pPr>
            <w:r>
              <w:rPr>
                <w:rFonts w:ascii="Times New Roman" w:cs="Times New Roman" w:eastAsia="Times New Roman" w:hAnsi="Times New Roman"/>
                <w:sz w:val="22"/>
                <w:szCs w:val="22"/>
                <w:color w:val="0563C1"/>
              </w:rPr>
              <w:t xml:space="preserve">Release of Guarantors  </w:t>
            </w:r>
            <w:r>
              <w:rPr>
                <w:rFonts w:ascii="Times New Roman" w:cs="Times New Roman" w:eastAsia="Times New Roman" w:hAnsi="Times New Roman"/>
                <w:sz w:val="22"/>
                <w:szCs w:val="22"/>
                <w:color w:val="000000"/>
              </w:rPr>
              <w:t>199</w:t>
            </w:r>
          </w:p>
        </w:tc>
      </w:tr>
      <w:tr>
        <w:trPr>
          <w:trHeight w:val="20"/>
        </w:trPr>
        <w:tc>
          <w:tcPr>
            <w:tcW w:w="13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319405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1399"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53"/>
        </w:trPr>
        <w:tc>
          <w:tcPr>
            <w:tcW w:w="1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ANNEXES:</w:t>
            </w:r>
          </w:p>
        </w:tc>
        <w:tc>
          <w:tcPr>
            <w:tcW w:w="940" w:type="dxa"/>
            <w:vAlign w:val="bottom"/>
          </w:tcPr>
          <w:p>
            <w:pPr>
              <w:spacing w:after="0"/>
              <w:rPr>
                <w:sz w:val="22"/>
                <w:szCs w:val="22"/>
                <w:color w:val="auto"/>
              </w:rPr>
            </w:pPr>
          </w:p>
        </w:tc>
        <w:tc>
          <w:tcPr>
            <w:tcW w:w="8320" w:type="dxa"/>
            <w:vAlign w:val="bottom"/>
          </w:tcPr>
          <w:p>
            <w:pPr>
              <w:spacing w:after="0"/>
              <w:rPr>
                <w:sz w:val="22"/>
                <w:szCs w:val="22"/>
                <w:color w:val="auto"/>
              </w:rPr>
            </w:pPr>
          </w:p>
        </w:tc>
      </w:tr>
      <w:tr>
        <w:trPr>
          <w:trHeight w:val="573"/>
        </w:trPr>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Annex I</w:t>
            </w:r>
          </w:p>
        </w:tc>
        <w:tc>
          <w:tcPr>
            <w:tcW w:w="940" w:type="dxa"/>
            <w:vAlign w:val="bottom"/>
            <w:gridSpan w:val="2"/>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Commitment Schedule</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Annex II</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HMRC DT Treaty Passport Schedule</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Annex III</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Existing Letters of Credit</w:t>
            </w:r>
          </w:p>
        </w:tc>
      </w:tr>
      <w:tr>
        <w:trPr>
          <w:trHeight w:val="731"/>
        </w:trPr>
        <w:tc>
          <w:tcPr>
            <w:tcW w:w="1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SCHEDULES:</w:t>
            </w:r>
          </w:p>
        </w:tc>
        <w:tc>
          <w:tcPr>
            <w:tcW w:w="94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573"/>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2.08</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Approved Lenders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3.05</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Subsidiaries and Joint Ventures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3.06</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Disclosed Matters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3.17</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Subordinated Debt Documents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6.01</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Existing Indebtedness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6.02</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6.04</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Existing Investments, Loans and Advances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6.07</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Schedule 6.08</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Restrictive Agreements</w:t>
            </w:r>
          </w:p>
        </w:tc>
      </w:tr>
      <w:tr>
        <w:trPr>
          <w:trHeight w:val="730"/>
        </w:trPr>
        <w:tc>
          <w:tcPr>
            <w:tcW w:w="1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EXHIBITS:</w:t>
            </w:r>
          </w:p>
        </w:tc>
        <w:tc>
          <w:tcPr>
            <w:tcW w:w="94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573"/>
        </w:trPr>
        <w:tc>
          <w:tcPr>
            <w:tcW w:w="1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Exhibit A</w:t>
            </w:r>
          </w:p>
        </w:tc>
        <w:tc>
          <w:tcPr>
            <w:tcW w:w="960" w:type="dxa"/>
            <w:vAlign w:val="bottom"/>
            <w:gridSpan w:val="3"/>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B</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 Certificate</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C-1</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U.S. Tax Compliance Certificate (For Foreign Lenders That Are Not Partnerships For U.S.</w:t>
            </w:r>
          </w:p>
        </w:tc>
      </w:tr>
      <w:tr>
        <w:trPr>
          <w:trHeight w:val="284"/>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Federal Income Tax Purposes)</w:t>
            </w:r>
          </w:p>
        </w:tc>
      </w:tr>
      <w:tr>
        <w:trPr>
          <w:trHeight w:val="499"/>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C-2</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U.S. Tax Compliance Certificate (For Foreign Participants That Are Not Partnerships For</w:t>
            </w:r>
          </w:p>
        </w:tc>
      </w:tr>
      <w:tr>
        <w:trPr>
          <w:trHeight w:val="284"/>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U.S. Federal Income Tax Purposes)</w:t>
            </w:r>
          </w:p>
        </w:tc>
      </w:tr>
      <w:tr>
        <w:trPr>
          <w:trHeight w:val="500"/>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C-3</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U.S. Tax Compliance Certificate (For Foreign Participants That Are Partnerships For U.S.</w:t>
            </w:r>
          </w:p>
        </w:tc>
      </w:tr>
      <w:tr>
        <w:trPr>
          <w:trHeight w:val="283"/>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Federal Income Tax Purposes)</w:t>
            </w:r>
          </w:p>
        </w:tc>
      </w:tr>
      <w:tr>
        <w:trPr>
          <w:trHeight w:val="500"/>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C-4</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U.S. Tax Compliance Certificate (For Foreign Lenders That Are Partnerships for U.S. Federal</w:t>
            </w:r>
          </w:p>
        </w:tc>
      </w:tr>
      <w:tr>
        <w:trPr>
          <w:trHeight w:val="284"/>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Income Tax Purposes)</w:t>
            </w:r>
          </w:p>
        </w:tc>
      </w:tr>
      <w:tr>
        <w:trPr>
          <w:trHeight w:val="499"/>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D</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Form of Foreign Subsidiary Borrower Agreement</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E</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Form of Foreign Subsidiary Borrower Termination</w:t>
            </w:r>
          </w:p>
        </w:tc>
      </w:tr>
      <w:tr>
        <w:trPr>
          <w:trHeight w:val="486"/>
        </w:trPr>
        <w:tc>
          <w:tcPr>
            <w:tcW w:w="19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Exhibit F</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8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Form of Subordination Agreement</w:t>
            </w:r>
          </w:p>
        </w:tc>
      </w:tr>
      <w:tr>
        <w:trPr>
          <w:trHeight w:val="837"/>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ind w:left="2680"/>
              <w:spacing w:after="0"/>
              <w:rPr>
                <w:sz w:val="20"/>
                <w:szCs w:val="20"/>
                <w:color w:val="auto"/>
              </w:rPr>
            </w:pPr>
            <w:r>
              <w:rPr>
                <w:rFonts w:ascii="Times New Roman" w:cs="Times New Roman" w:eastAsia="Times New Roman" w:hAnsi="Times New Roman"/>
                <w:sz w:val="22"/>
                <w:szCs w:val="22"/>
                <w:color w:val="auto"/>
              </w:rPr>
              <w:t>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99" w:right="359" w:bottom="610" w:gutter="0" w:footer="0" w:header="0"/>
        </w:sectPr>
      </w:pPr>
    </w:p>
    <w:bookmarkStart w:id="89" w:name="page90"/>
    <w:bookmarkEnd w:id="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CREDIT AGREEMENT, dated as of March 7,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THE HAGERTY GROUP, LLC, a Delaware limited liability company, the FOREIGN SUBSIDIARY BORROWERS party hereto, the Lenders party hereto, and JPMORGAN CHASE BANK, N.A., as Administrative Agent.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193" w:lineRule="exact"/>
        <w:rPr>
          <w:sz w:val="20"/>
          <w:szCs w:val="20"/>
          <w:color w:val="auto"/>
        </w:rPr>
      </w:pPr>
    </w:p>
    <w:p>
      <w:pPr>
        <w:ind w:right="20" w:firstLine="656"/>
        <w:spacing w:after="0" w:line="236" w:lineRule="auto"/>
        <w:tabs>
          <w:tab w:leader="none" w:pos="129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requested that the Lenders, on the terms and subject to the conditions herein set forth, extend credit to the Borrower in the form of senior unsecured revolving loans in an aggregate principal amount of up to $375,000,000.</w:t>
      </w:r>
    </w:p>
    <w:p>
      <w:pPr>
        <w:spacing w:after="0" w:line="17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mutual agreements, provisions and covenants contained herein, the parties hereto agree, subject to the fulfillment of the conditions precedent set forth in this Agreement, as follows:</w:t>
      </w:r>
    </w:p>
    <w:p>
      <w:pPr>
        <w:spacing w:after="0" w:line="1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ind w:left="496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specified below:</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is bearing interest at a rate determined by reference to the Alternate Base Rate. All ABR Loans shall be denominated in Dollars.</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any transaction, or any series of related transactions, consummated on or after the date of this Agreement, by which the Company or any of its Restricted Subsidiaries (i) acquires all or substantially all of the assets of any Person or all or substantially all of the assets of a division, line of business or branch of such Person, whether through purchase of assets, merger or otherwise or (ii) directly or indirectly acquires (in one transaction or as the most recent transaction in a series of transactions) at least a majority (in number of votes) of the Equity Interests of a Person (including with respect to an Investment in a Subsidiary or joint venture that serves to increase the Company’s or its Restricted Subsidiaries’ respective ownership of Equity Interests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Covenant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EURIBOR Rate</w:t>
      </w:r>
      <w:r>
        <w:rPr>
          <w:rFonts w:ascii="Times New Roman" w:cs="Times New Roman" w:eastAsia="Times New Roman" w:hAnsi="Times New Roman"/>
          <w:sz w:val="22"/>
          <w:szCs w:val="22"/>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JPMCB (or any of its designated branch offices or affiliates), in its capacity as administrative agent for the Lenders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specified Person.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9.03(d)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Currencies</w:t>
      </w:r>
      <w:r>
        <w:rPr>
          <w:rFonts w:ascii="Times New Roman" w:cs="Times New Roman" w:eastAsia="Times New Roman" w:hAnsi="Times New Roman"/>
          <w:sz w:val="22"/>
          <w:szCs w:val="22"/>
          <w:color w:val="auto"/>
        </w:rPr>
        <w:t>” means Dollars and each Alternative Currency.</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Subordination Principles</w:t>
      </w:r>
      <w:r>
        <w:rPr>
          <w:rFonts w:ascii="Times New Roman" w:cs="Times New Roman" w:eastAsia="Times New Roman" w:hAnsi="Times New Roman"/>
          <w:sz w:val="22"/>
          <w:szCs w:val="22"/>
          <w:color w:val="auto"/>
        </w:rPr>
        <w:t>” means, with respect to any Indebtedness or other obligations of any Person (the “</w:t>
      </w:r>
      <w:r>
        <w:rPr>
          <w:rFonts w:ascii="Times New Roman" w:cs="Times New Roman" w:eastAsia="Times New Roman" w:hAnsi="Times New Roman"/>
          <w:sz w:val="22"/>
          <w:szCs w:val="22"/>
          <w:u w:val="single" w:color="auto"/>
          <w:color w:val="auto"/>
        </w:rPr>
        <w:t>Reference Obligations</w:t>
      </w:r>
      <w:r>
        <w:rPr>
          <w:rFonts w:ascii="Times New Roman" w:cs="Times New Roman" w:eastAsia="Times New Roman" w:hAnsi="Times New Roman"/>
          <w:sz w:val="22"/>
          <w:szCs w:val="22"/>
          <w:color w:val="auto"/>
        </w:rPr>
        <w:t>”), the subordination of such Reference Obligations to the Obligations as follows: (a)(i) such Reference Obligations are subordinate and junior in right of payment to the prior Payment in Full of the Obligations, other than any payment of such Reference Obligations permitted to be made pursuant to Section 6.11(e), (ii) in the event of any bankruptcy or insolvency involving any obligor of such Reference Obligations that is a Loan Party or an Affiliate of a Loan Party, the Holders of Obligations are entitled to receive Payment in Full of the Obligations prior to any payments in respect of such Reference Obligations, (iii) the holders of such Reference Obligations will not be permitted to exercise any enforcement actions or other rights, remedies or powers, whether at law or equity, that such holder might possess (including any collection action, foreclosure, attachment, petition, or otherwise), if, at the time that such Reference Obligations (or any part thereof) become due, there then exists an Event of Default or an Event of Default would result therefrom and (iv) at any time any payment, purchase, redemption, defeasance, prepayment or otherwise satisfaction of such Reference Obligations are not permitted under the Loan Documents, the holders of such Reference Obligations shall not accept any payment on account of such Reference Obligations and, if any payment is received, the holders of such Reference Obligations shall hold such funds in trust for the benefit of the Administrative Agent (provided that any payments of such Reference Obligations that are not made when due may be made at such later time as such payments are permitted under the Loan Documents); or (b) to the extent provided under the Subordination Agreement applicable such Reference Obligations; or (c) subject to such other terms and conditions that may be agreed to by the Administrative Agent and the Company.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specified in introductory paragraph hereof.</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AHYDO Payment</w:t>
      </w:r>
      <w:r>
        <w:rPr>
          <w:rFonts w:ascii="Times New Roman" w:cs="Times New Roman" w:eastAsia="Times New Roman" w:hAnsi="Times New Roman"/>
          <w:sz w:val="22"/>
          <w:szCs w:val="22"/>
          <w:color w:val="auto"/>
        </w:rPr>
        <w:t>” means any mandatory payment, prepayment or redemption pursuant to the terms of any Indebtedness in an amount that is intended or designed to cause such Indebtedness not to be treated as an “applicable high yield discount obligation” within the meaning of Code Section 163(i).</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Aldel Financial</w:t>
      </w:r>
      <w:r>
        <w:rPr>
          <w:rFonts w:ascii="Times New Roman" w:cs="Times New Roman" w:eastAsia="Times New Roman" w:hAnsi="Times New Roman"/>
          <w:sz w:val="22"/>
          <w:szCs w:val="22"/>
          <w:color w:val="auto"/>
        </w:rPr>
        <w:t>” means Aldel Financial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Alternate Base Rate</w:t>
      </w:r>
      <w:r>
        <w:rPr>
          <w:rFonts w:ascii="Times New Roman" w:cs="Times New Roman" w:eastAsia="Times New Roman" w:hAnsi="Times New Roman"/>
          <w:sz w:val="21"/>
          <w:szCs w:val="21"/>
          <w:color w:val="auto"/>
        </w:rPr>
        <w:t xml:space="preserve">” means, for any day, a rate per annum equal to the greatest of (a) the Prime Rate in effect on such day, (b) the NYFRB Rate in effect on such day plus ½ of 1%, and (c) the Term SOFR Rate for a one-month Interest Period as published two (2) U.S. Government Securities Business Days prior to such day (or if such day is not a U.S. Government Securities Business Day, the immediately preceding U.S. Government Securities Business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(for the avoidance of doubt, only until the Benchmark Replacement has been determined pursuant to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 xml:space="preserve">), then the Alternate Base Rate shall be the greater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and shall be determined without reference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above. For the avoidance of doubt, if the Alternate Base Rate as determined pursuant to the foregoing would be less than 1.00%, such rate shall be deemed to be 1.00% for purposes of this Agreement.</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 means Sterling, Euros and any additional currencies determined after the Effective Date by mutual agreement of the Company, Lenders, the Issuing Bank and Administrative Agent; provided that each such currency is a lawful currency that is readily available, freely transferable and not restricted and able to be converted into Dollars.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Sublimit</w:t>
      </w:r>
      <w:r>
        <w:rPr>
          <w:rFonts w:ascii="Times New Roman" w:cs="Times New Roman" w:eastAsia="Times New Roman" w:hAnsi="Times New Roman"/>
          <w:sz w:val="22"/>
          <w:szCs w:val="22"/>
          <w:color w:val="auto"/>
        </w:rPr>
        <w:t>” means an amount equal to the lesser of (a) $100,000,000 and (b) the total amount of the Revolving Commitments. The Alternative Currency Sublimit is part of, and not in addition to, the Revolving Commitments hereunder.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9.06(b)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any of its Subsidiaries from time to time concerning or relating to bribery or corruption.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EBITDA</w:t>
      </w:r>
      <w:r>
        <w:rPr>
          <w:rFonts w:ascii="Times New Roman" w:cs="Times New Roman" w:eastAsia="Times New Roman" w:hAnsi="Times New Roman"/>
          <w:sz w:val="22"/>
          <w:szCs w:val="22"/>
          <w:color w:val="auto"/>
        </w:rPr>
        <w:t xml:space="preserve">” means, at any time, Consolidated EBITDA for the Company and its Restricted Subsidiaries on a consolidated basis in accordance with GAAP for the period of four consecutive Fiscal Quarters ended on or most recently prior to such time for which financial statements have been delivered (or are required to have been delivered) to the Administrative Agent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xml:space="preserve">” means, for any day, with respect to any ABR Loan, RFR Loan or Term Benchmark Loan or with respect to the commitment fees payable under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or Letter of Credit fees payable under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as the case may be, a rate per annum (expressed as a percentage) equal to the amount set forth below under the caption “Applicable Margin – ABR Loans”, “Applicable Margin – Term Benchmark/RFR/Letters of Credit”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“Commitment Fee Rate”, as the case may be, based upon the Net Leverage Ratio as of the most recent determination date: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200" w:type="dxa"/>
            <w:vAlign w:val="bottom"/>
            <w:tcBorders>
              <w:top w:val="single" w:sz="8" w:color="auto"/>
              <w:left w:val="single" w:sz="8" w:color="auto"/>
              <w:right w:val="single" w:sz="8" w:color="auto"/>
            </w:tcBorders>
            <w:shd w:val="clear" w:color="auto" w:fill="C0C0C0"/>
          </w:tcPr>
          <w:p>
            <w:pPr>
              <w:ind w:left="40"/>
              <w:spacing w:after="0"/>
              <w:rPr>
                <w:sz w:val="20"/>
                <w:szCs w:val="20"/>
                <w:color w:val="auto"/>
              </w:rPr>
            </w:pPr>
            <w:r>
              <w:rPr>
                <w:rFonts w:ascii="Times New Roman" w:cs="Times New Roman" w:eastAsia="Times New Roman" w:hAnsi="Times New Roman"/>
                <w:sz w:val="22"/>
                <w:szCs w:val="22"/>
                <w:color w:val="auto"/>
              </w:rPr>
              <w:t>Level</w:t>
            </w:r>
          </w:p>
        </w:tc>
        <w:tc>
          <w:tcPr>
            <w:tcW w:w="2300" w:type="dxa"/>
            <w:vAlign w:val="bottom"/>
            <w:tcBorders>
              <w:top w:val="single" w:sz="8" w:color="auto"/>
              <w:right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Net Leverage Ratio</w:t>
            </w:r>
          </w:p>
        </w:tc>
        <w:tc>
          <w:tcPr>
            <w:tcW w:w="2140" w:type="dxa"/>
            <w:vAlign w:val="bottom"/>
            <w:tcBorders>
              <w:top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Applicable   Margin</w:t>
            </w:r>
          </w:p>
        </w:tc>
        <w:tc>
          <w:tcPr>
            <w:tcW w:w="1120" w:type="dxa"/>
            <w:vAlign w:val="bottom"/>
            <w:tcBorders>
              <w:top w:val="single" w:sz="8" w:color="auto"/>
              <w:right w:val="single" w:sz="8" w:color="auto"/>
            </w:tcBorders>
            <w:shd w:val="clear" w:color="auto" w:fill="C0C0C0"/>
          </w:tcPr>
          <w:p>
            <w:pPr>
              <w:ind w:left="160"/>
              <w:spacing w:after="0"/>
              <w:rPr>
                <w:sz w:val="20"/>
                <w:szCs w:val="20"/>
                <w:color w:val="auto"/>
              </w:rPr>
            </w:pPr>
            <w:r>
              <w:rPr>
                <w:rFonts w:ascii="Times New Roman" w:cs="Times New Roman" w:eastAsia="Times New Roman" w:hAnsi="Times New Roman"/>
                <w:sz w:val="22"/>
                <w:szCs w:val="22"/>
                <w:color w:val="auto"/>
              </w:rPr>
              <w:t>-   Term</w:t>
            </w:r>
          </w:p>
        </w:tc>
        <w:tc>
          <w:tcPr>
            <w:tcW w:w="2240" w:type="dxa"/>
            <w:vAlign w:val="bottom"/>
            <w:tcBorders>
              <w:top w:val="single" w:sz="8" w:color="auto"/>
              <w:right w:val="single" w:sz="8" w:color="auto"/>
            </w:tcBorders>
            <w:shd w:val="clear" w:color="auto" w:fill="C0C0C0"/>
          </w:tcPr>
          <w:p>
            <w:pPr>
              <w:spacing w:after="0"/>
              <w:rPr>
                <w:sz w:val="20"/>
                <w:szCs w:val="20"/>
                <w:color w:val="auto"/>
              </w:rPr>
            </w:pPr>
            <w:r>
              <w:rPr>
                <w:rFonts w:ascii="Times New Roman" w:cs="Times New Roman" w:eastAsia="Times New Roman" w:hAnsi="Times New Roman"/>
                <w:sz w:val="22"/>
                <w:szCs w:val="22"/>
                <w:color w:val="auto"/>
              </w:rPr>
              <w:t>Commitment Fee Rate</w:t>
            </w:r>
          </w:p>
        </w:tc>
        <w:tc>
          <w:tcPr>
            <w:tcW w:w="2260" w:type="dxa"/>
            <w:vAlign w:val="bottom"/>
            <w:tcBorders>
              <w:top w:val="single" w:sz="8" w:color="auto"/>
              <w:right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Applicable  Margin  -</w:t>
            </w:r>
          </w:p>
        </w:tc>
      </w:tr>
      <w:tr>
        <w:trPr>
          <w:trHeight w:val="270"/>
        </w:trPr>
        <w:tc>
          <w:tcPr>
            <w:tcW w:w="1200" w:type="dxa"/>
            <w:vAlign w:val="bottom"/>
            <w:tcBorders>
              <w:left w:val="single" w:sz="8" w:color="auto"/>
              <w:right w:val="single" w:sz="8" w:color="auto"/>
            </w:tcBorders>
            <w:shd w:val="clear" w:color="auto" w:fill="C0C0C0"/>
          </w:tcPr>
          <w:p>
            <w:pPr>
              <w:spacing w:after="0"/>
              <w:rPr>
                <w:sz w:val="23"/>
                <w:szCs w:val="23"/>
                <w:color w:val="auto"/>
              </w:rPr>
            </w:pPr>
          </w:p>
        </w:tc>
        <w:tc>
          <w:tcPr>
            <w:tcW w:w="2300" w:type="dxa"/>
            <w:vAlign w:val="bottom"/>
            <w:tcBorders>
              <w:right w:val="single" w:sz="8" w:color="auto"/>
            </w:tcBorders>
            <w:shd w:val="clear" w:color="auto" w:fill="C0C0C0"/>
          </w:tcPr>
          <w:p>
            <w:pPr>
              <w:spacing w:after="0"/>
              <w:rPr>
                <w:sz w:val="23"/>
                <w:szCs w:val="23"/>
                <w:color w:val="auto"/>
              </w:rPr>
            </w:pPr>
          </w:p>
        </w:tc>
        <w:tc>
          <w:tcPr>
            <w:tcW w:w="21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Benchmark/RFR/</w:t>
            </w:r>
          </w:p>
        </w:tc>
        <w:tc>
          <w:tcPr>
            <w:tcW w:w="1120" w:type="dxa"/>
            <w:vAlign w:val="bottom"/>
            <w:tcBorders>
              <w:right w:val="single" w:sz="8" w:color="auto"/>
            </w:tcBorders>
            <w:shd w:val="clear" w:color="auto" w:fill="C0C0C0"/>
          </w:tcPr>
          <w:p>
            <w:pPr>
              <w:spacing w:after="0"/>
              <w:rPr>
                <w:sz w:val="23"/>
                <w:szCs w:val="23"/>
                <w:color w:val="auto"/>
              </w:rPr>
            </w:pPr>
          </w:p>
        </w:tc>
        <w:tc>
          <w:tcPr>
            <w:tcW w:w="2240" w:type="dxa"/>
            <w:vAlign w:val="bottom"/>
            <w:tcBorders>
              <w:right w:val="single" w:sz="8" w:color="auto"/>
            </w:tcBorders>
            <w:shd w:val="clear" w:color="auto" w:fill="C0C0C0"/>
          </w:tcPr>
          <w:p>
            <w:pPr>
              <w:spacing w:after="0"/>
              <w:rPr>
                <w:sz w:val="23"/>
                <w:szCs w:val="23"/>
                <w:color w:val="auto"/>
              </w:rPr>
            </w:pPr>
          </w:p>
        </w:tc>
        <w:tc>
          <w:tcPr>
            <w:tcW w:w="2260" w:type="dxa"/>
            <w:vAlign w:val="bottom"/>
            <w:tcBorders>
              <w:right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22"/>
                <w:szCs w:val="22"/>
                <w:color w:val="auto"/>
              </w:rPr>
              <w:t>ABR Loans</w:t>
            </w:r>
          </w:p>
        </w:tc>
      </w:tr>
      <w:tr>
        <w:trPr>
          <w:trHeight w:val="290"/>
        </w:trPr>
        <w:tc>
          <w:tcPr>
            <w:tcW w:w="1200" w:type="dxa"/>
            <w:vAlign w:val="bottom"/>
            <w:tcBorders>
              <w:left w:val="single" w:sz="8" w:color="auto"/>
              <w:bottom w:val="single" w:sz="8" w:color="auto"/>
              <w:right w:val="single" w:sz="8" w:color="auto"/>
            </w:tcBorders>
            <w:shd w:val="clear" w:color="auto" w:fill="C0C0C0"/>
          </w:tcPr>
          <w:p>
            <w:pPr>
              <w:spacing w:after="0"/>
              <w:rPr>
                <w:sz w:val="24"/>
                <w:szCs w:val="24"/>
                <w:color w:val="auto"/>
              </w:rPr>
            </w:pPr>
          </w:p>
        </w:tc>
        <w:tc>
          <w:tcPr>
            <w:tcW w:w="2300" w:type="dxa"/>
            <w:vAlign w:val="bottom"/>
            <w:tcBorders>
              <w:bottom w:val="single" w:sz="8" w:color="auto"/>
              <w:right w:val="single" w:sz="8" w:color="auto"/>
            </w:tcBorders>
            <w:shd w:val="clear" w:color="auto" w:fill="C0C0C0"/>
          </w:tcPr>
          <w:p>
            <w:pPr>
              <w:spacing w:after="0"/>
              <w:rPr>
                <w:sz w:val="24"/>
                <w:szCs w:val="24"/>
                <w:color w:val="auto"/>
              </w:rPr>
            </w:pPr>
          </w:p>
        </w:tc>
        <w:tc>
          <w:tcPr>
            <w:tcW w:w="2140" w:type="dxa"/>
            <w:vAlign w:val="bottom"/>
            <w:tcBorders>
              <w:bottom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Letters of Credit</w:t>
            </w:r>
          </w:p>
        </w:tc>
        <w:tc>
          <w:tcPr>
            <w:tcW w:w="1120" w:type="dxa"/>
            <w:vAlign w:val="bottom"/>
            <w:tcBorders>
              <w:bottom w:val="single" w:sz="8" w:color="auto"/>
              <w:right w:val="single" w:sz="8" w:color="auto"/>
            </w:tcBorders>
            <w:shd w:val="clear" w:color="auto" w:fill="C0C0C0"/>
          </w:tcPr>
          <w:p>
            <w:pPr>
              <w:spacing w:after="0"/>
              <w:rPr>
                <w:sz w:val="24"/>
                <w:szCs w:val="24"/>
                <w:color w:val="auto"/>
              </w:rPr>
            </w:pPr>
          </w:p>
        </w:tc>
        <w:tc>
          <w:tcPr>
            <w:tcW w:w="2240" w:type="dxa"/>
            <w:vAlign w:val="bottom"/>
            <w:tcBorders>
              <w:bottom w:val="single" w:sz="8" w:color="auto"/>
              <w:right w:val="single" w:sz="8" w:color="auto"/>
            </w:tcBorders>
            <w:shd w:val="clear" w:color="auto" w:fill="C0C0C0"/>
          </w:tcPr>
          <w:p>
            <w:pPr>
              <w:spacing w:after="0"/>
              <w:rPr>
                <w:sz w:val="24"/>
                <w:szCs w:val="24"/>
                <w:color w:val="auto"/>
              </w:rPr>
            </w:pPr>
          </w:p>
        </w:tc>
        <w:tc>
          <w:tcPr>
            <w:tcW w:w="2260" w:type="dxa"/>
            <w:vAlign w:val="bottom"/>
            <w:tcBorders>
              <w:bottom w:val="single" w:sz="8" w:color="auto"/>
              <w:right w:val="single" w:sz="8" w:color="auto"/>
            </w:tcBorders>
            <w:shd w:val="clear" w:color="auto" w:fill="C0C0C0"/>
          </w:tcPr>
          <w:p>
            <w:pPr>
              <w:spacing w:after="0"/>
              <w:rPr>
                <w:sz w:val="24"/>
                <w:szCs w:val="24"/>
                <w:color w:val="auto"/>
              </w:rPr>
            </w:pPr>
          </w:p>
        </w:tc>
      </w:tr>
      <w:tr>
        <w:trPr>
          <w:trHeight w:val="309"/>
        </w:trPr>
        <w:tc>
          <w:tcPr>
            <w:tcW w:w="1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3.00</w:t>
            </w:r>
          </w:p>
        </w:tc>
        <w:tc>
          <w:tcPr>
            <w:tcW w:w="214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6"/>
              </w:rPr>
              <w:t>[***]</w:t>
            </w:r>
          </w:p>
        </w:tc>
        <w:tc>
          <w:tcPr>
            <w:tcW w:w="11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303"/>
        </w:trPr>
        <w:tc>
          <w:tcPr>
            <w:tcW w:w="1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II</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2.50 but &lt; 3.00</w:t>
            </w:r>
          </w:p>
        </w:tc>
        <w:tc>
          <w:tcPr>
            <w:tcW w:w="214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6"/>
              </w:rPr>
              <w:t>[***]</w:t>
            </w:r>
          </w:p>
        </w:tc>
        <w:tc>
          <w:tcPr>
            <w:tcW w:w="11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302"/>
        </w:trPr>
        <w:tc>
          <w:tcPr>
            <w:tcW w:w="1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III</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2.00 but &lt; 2.50</w:t>
            </w:r>
          </w:p>
        </w:tc>
        <w:tc>
          <w:tcPr>
            <w:tcW w:w="214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6"/>
              </w:rPr>
              <w:t>[***]</w:t>
            </w:r>
          </w:p>
        </w:tc>
        <w:tc>
          <w:tcPr>
            <w:tcW w:w="11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303"/>
        </w:trPr>
        <w:tc>
          <w:tcPr>
            <w:tcW w:w="1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IV</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1.50 but &lt; 2.00</w:t>
            </w:r>
          </w:p>
        </w:tc>
        <w:tc>
          <w:tcPr>
            <w:tcW w:w="214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6"/>
              </w:rPr>
              <w:t>[***]</w:t>
            </w:r>
          </w:p>
        </w:tc>
        <w:tc>
          <w:tcPr>
            <w:tcW w:w="11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303"/>
        </w:trPr>
        <w:tc>
          <w:tcPr>
            <w:tcW w:w="1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&lt; 1.50</w:t>
            </w:r>
          </w:p>
        </w:tc>
        <w:tc>
          <w:tcPr>
            <w:tcW w:w="214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6"/>
              </w:rPr>
              <w:t>[***]</w:t>
            </w:r>
          </w:p>
        </w:tc>
        <w:tc>
          <w:tcPr>
            <w:tcW w:w="11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bl>
    <w:p>
      <w:pPr>
        <w:spacing w:after="0" w:line="32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 xml:space="preserve">The Applicable Margin shall be determined in accordance with the foregoing table based on the Net Leverage Ratio as determined in the then most recent quarterly financial statements for the first three Fiscal Quarters of each Fiscal Year and the audited year-end financial statements for the last Fiscal Quarter (in each case calculated on a trailing four quarter basis) of the Company. Adjustments, if any, to the Applicable Margin shall be effective five Business Days after the Administrative Agent is scheduled to receive the applicable financials under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Compliance Certificate under </w:t>
      </w:r>
      <w:r>
        <w:rPr>
          <w:rFonts w:ascii="Times New Roman" w:cs="Times New Roman" w:eastAsia="Times New Roman" w:hAnsi="Times New Roman"/>
          <w:sz w:val="22"/>
          <w:szCs w:val="22"/>
          <w:u w:val="single" w:color="auto"/>
          <w:color w:val="auto"/>
        </w:rPr>
        <w:t>Section 5.01(c)</w:t>
      </w:r>
      <w:r>
        <w:rPr>
          <w:rFonts w:ascii="Times New Roman" w:cs="Times New Roman" w:eastAsia="Times New Roman" w:hAnsi="Times New Roman"/>
          <w:sz w:val="22"/>
          <w:szCs w:val="22"/>
          <w:color w:val="auto"/>
        </w:rPr>
        <w:t xml:space="preserve">. Notwithstanding anything herein to the contrary, (a) the Applicable Margin may be set at Level I at the option of the Administrative Agent or at the request of the Required Lenders if an Event of Default exists, and (b) the Applicable Margin shall be set at Level V as of the Effective Date and the Applicable Margin shall be adjusted for the first time based on the initial financial statements delivered hereunder pursuant to either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5.01(b)</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2"/>
          <w:szCs w:val="22"/>
          <w:color w:val="auto"/>
        </w:rPr>
        <w:t xml:space="preserve">If at any time the Administrative Agent determines that the financial statements upon which the Applicable Margin was determined were incorrect (whether based on a restatement, fraud or otherwise), or any ratio or compliance information in a compliance certificate or other certification was incorrectly calculated, relied on incorrect information or was otherwise not accurate, true or correct, (i) if the proper calculation of the Net Leverage Ratio would have resulted in higher pricing for such period, then the Borrowers shall be required to retroactively pay any additional amount that the Borrowers would have been required to pay if such financial statements, compliance certificate or other information had been accurate and/or computed correctly at the time they were delivered and (ii) if the proper calculation of the Net Leverage Ratio would have resulted in lower pricing for such period, then neither the Administrative Agent nor any Lender shall have any obligation to return any additional amounts previously received to the Borrowers;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as a result of any restatement or other event a proper calculation of the Net Leverage Ratio would have resulted in higher pricing for one or more periods and lower pricing for one or more other periods (due to the shifting of income or expenses from one period to another period or any similar reason), then the amount payable by the Borrowers pursuant to clause (i) above shall be based upon the excess, if any, of such amounts that should have been paid for all applicable periods over such amounts actually paid for all such periods.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22" w:right="31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Parties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Revolving Lender, with respect to Revolving Loans, LC Exposure or Swingline Loans, a percentage equal to a fraction the numerator of which is such Lender’s Revolving Commitment and the denominator of which is the aggregate Revolving Commitment of all Lenders (if the Revolving Commitments have terminated or expired, the Applicable Percentages shall be determined based upon such Lender’s share of the aggregate Revolving Exposures at that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accordance with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so long as any Lender shall be a Defaulting Lender, such Defaulting Lender’s Revolving Commitment shall be disregarded in the calculations above.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Borrower Portal</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8.12(a)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each of JPMCB and Wells Fargo Securities, LLC, in its capacity as a joint bookrunner and joint lead arranger hereunder.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accepted by the Administrative Agent,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any other form (including electronic records generated by the use of an electronic platform) approved by the Administrative Agent in consultation with the Company.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Attributable Securitization Indebtedness</w:t>
      </w:r>
      <w:r>
        <w:rPr>
          <w:rFonts w:ascii="Times New Roman" w:cs="Times New Roman" w:eastAsia="Times New Roman" w:hAnsi="Times New Roman"/>
          <w:sz w:val="21"/>
          <w:szCs w:val="21"/>
          <w:color w:val="auto"/>
        </w:rPr>
        <w:t>” means, at any time, the principal amount of Indebtedness which (i) if a Permitted Securitization Facility is structured as a lending agreement or other similar agreement, constitutes the principal amount of such Indebtedness or (ii) if a Permitted Securitization Facility is structured as a purchase agreement or other similar agreement, would be outstanding at such time under the Permitted Securitization Facility if the same were structured as a lending agreement rather than a purchase agreement or such other similar agreement (whether such amount is described as “capital” or otherwise).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means, at any time (the “</w:t>
      </w:r>
      <w:r>
        <w:rPr>
          <w:rFonts w:ascii="Times New Roman" w:cs="Times New Roman" w:eastAsia="Times New Roman" w:hAnsi="Times New Roman"/>
          <w:sz w:val="22"/>
          <w:szCs w:val="22"/>
          <w:u w:val="single" w:color="auto"/>
          <w:color w:val="auto"/>
        </w:rPr>
        <w:t>Reference Date</w:t>
      </w:r>
      <w:r>
        <w:rPr>
          <w:rFonts w:ascii="Times New Roman" w:cs="Times New Roman" w:eastAsia="Times New Roman" w:hAnsi="Times New Roman"/>
          <w:sz w:val="22"/>
          <w:szCs w:val="22"/>
          <w:color w:val="auto"/>
        </w:rPr>
        <w:t>”), the sum (without duplication) of:</w:t>
      </w:r>
    </w:p>
    <w:p>
      <w:pPr>
        <w:spacing w:after="0" w:line="193"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(x) $75,000,000 and (y) 50% of Applicable EBITDA (calculated on a Pro Forma Basis); plus</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the amount of any cash contribution received by the Company or Net Proceeds of Qualified Equity Interests of the Company (or any direct or indirect parent thereof) received by the Company (or contributed by such parent to the Company, as the case may be), in each case, (x) during the period from and including the Business Day immediately following the Effective Date through and including the Reference Date and (y) to the extent not included in the definition of “Cure Amount” and Not Otherwise Applied; plus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5" w:name="page96"/>
    <w:bookmarkEnd w:id="95"/>
    <w:p>
      <w:pPr>
        <w:jc w:val="both"/>
        <w:ind w:firstLine="656"/>
        <w:spacing w:after="0" w:line="215" w:lineRule="auto"/>
        <w:tabs>
          <w:tab w:leader="none" w:pos="12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already reflected as a return of capital with respect to such Investment for purposes of determining the amount of such Investment, the aggregate amount of all Returns (including all cash repayment of principal) received in cash or Permitted Investments by the Company or any Restricted Subsidiary from any Investment or Unrestricted Subsidiary during the period from and including the Business Day immediately following the Effective Date through and including the Reference Date, in each case, to the extent any such Investment was made using the Available Amount pursuant to Section 6.04(ee) (up to the amount of the original Investment); plus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already reflected as a return of capital with respect to such Investment for purposes of determining the amount of such Investment, the aggregate amount of all Net Proceeds received by the Company or any Restricted Subsidiary in connection with the sale, transfer or other Disposition of any Investment or its ownership interest in any Unrestricted Subsidiary during the period from and including the Business Day immediately following the Effective Date through and including the Reference Date, in each case, to the extent any such Investment was made using the Available Amount pursuant to Section 6.04(ee) (up to the amount of the original Investment); plus</w:t>
      </w:r>
    </w:p>
    <w:p>
      <w:pPr>
        <w:spacing w:after="0" w:line="152"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already reflected as a return of capital with respect to such Investment for purposes of determining the amount of such Investment, in the event that the Company redesignates any Unrestricted Subsidiary as a Restricted Subsidiary after the Effective Date (which, for purposes hereof, shall be deemed to also include (1) the merger, consolidation, liquidation or similar amalgamation of any Unrestricted Subsidiary into the Company or any Restricted Subsidiary, so long as the Company or such Restricted Subsidiary is the surviving Person, and (2) the transfer of all or substantially all of the assets of an Unrestricted Subsidiary to the Company or any Restricted Subsidiary), the fair market value (as reasonably determined by the Company in consultation with the Administrative Agent) of the Investment in such Unrestricted Subsidiary at the time of such redesignation, in each case, to the extent such Investment in such Unrestricted Subsidiary was made using the Available Amount pursuant to Section 6.04(ee) (up to the amount of the original Investment); minus</w:t>
      </w:r>
    </w:p>
    <w:p>
      <w:pPr>
        <w:spacing w:after="0" w:line="149" w:lineRule="exact"/>
        <w:rPr>
          <w:rFonts w:ascii="Times New Roman" w:cs="Times New Roman" w:eastAsia="Times New Roman" w:hAnsi="Times New Roman"/>
          <w:sz w:val="21"/>
          <w:szCs w:val="21"/>
          <w:color w:val="auto"/>
        </w:rPr>
      </w:pPr>
    </w:p>
    <w:p>
      <w:pPr>
        <w:jc w:val="both"/>
        <w:ind w:firstLine="656"/>
        <w:spacing w:after="0" w:line="231" w:lineRule="auto"/>
        <w:tabs>
          <w:tab w:leader="none" w:pos="129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Investments made pursuant to Section 6.04(ee) and any Restricted Payment made pursuant to Section 6.06(n), in each case, during the period commencing on the Effective Date and ending on the Reference Date (and, for purposes of this clause (f), with respect to any contemplated transaction, without taking account of the intended usage of the Available Amount on such Reference Date in respect of such contemplated transaction), in each case, in reliance on the Available Amount.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Commitment</w:t>
      </w:r>
      <w:r>
        <w:rPr>
          <w:rFonts w:ascii="Times New Roman" w:cs="Times New Roman" w:eastAsia="Times New Roman" w:hAnsi="Times New Roman"/>
          <w:sz w:val="22"/>
          <w:szCs w:val="22"/>
          <w:color w:val="auto"/>
        </w:rPr>
        <w:t xml:space="preserve">” means, at any time, an amount equal to the Revolving Commitment then in effect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the Revolving Exposure of all Revolving Lenders at such time (calculated, with respect to any Defaulting Lender, as if such Defaulting Lender had funded its Applicable Percentage of all outstanding Borrowings); it being understood and agreed that any Lender’s Swingline Exposure shall not be deemed to be a component of the Revolving Exposure for purposes of calculating the commitment fee under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Incremental Amount</w:t>
      </w:r>
      <w:r>
        <w:rPr>
          <w:rFonts w:ascii="Times New Roman" w:cs="Times New Roman" w:eastAsia="Times New Roman" w:hAnsi="Times New Roman"/>
          <w:sz w:val="22"/>
          <w:szCs w:val="22"/>
          <w:color w:val="auto"/>
        </w:rPr>
        <w:t>” means, at any time, an aggregate principal amount of up to the sum of:</w:t>
      </w:r>
    </w:p>
    <w:p>
      <w:pPr>
        <w:spacing w:after="0" w:line="193" w:lineRule="exact"/>
        <w:rPr>
          <w:sz w:val="20"/>
          <w:szCs w:val="20"/>
          <w:color w:val="auto"/>
        </w:rPr>
      </w:pPr>
    </w:p>
    <w:p>
      <w:pPr>
        <w:jc w:val="both"/>
        <w:ind w:firstLine="656"/>
        <w:spacing w:after="0" w:line="225"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unlimited amount, so long as the Net Leverage Ratio is less than or equal to 3.25 to 1.00 after giving effect on a Pro Forma Basis to the incurrence or issuance of the applicable Incremental Facility or Incremental Equivalent Debt (assuming that each applicable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96" w:name="page97"/>
    <w:bookmarkEnd w:id="96"/>
    <w:p>
      <w:pPr>
        <w:spacing w:after="0" w:line="236" w:lineRule="auto"/>
        <w:rPr>
          <w:sz w:val="20"/>
          <w:szCs w:val="20"/>
          <w:color w:val="auto"/>
        </w:rPr>
      </w:pPr>
      <w:r>
        <w:rPr>
          <w:rFonts w:ascii="Times New Roman" w:cs="Times New Roman" w:eastAsia="Times New Roman" w:hAnsi="Times New Roman"/>
          <w:sz w:val="22"/>
          <w:szCs w:val="22"/>
          <w:color w:val="auto"/>
        </w:rPr>
        <w:t xml:space="preserve">Incremental Facility and/or Incremental Equivalent Debt is fully drawn) and the application of proceeds therefrom and any other transactions consummated in connection therewith; </w:t>
      </w:r>
      <w:r>
        <w:rPr>
          <w:rFonts w:ascii="Times New Roman" w:cs="Times New Roman" w:eastAsia="Times New Roman" w:hAnsi="Times New Roman"/>
          <w:sz w:val="22"/>
          <w:szCs w:val="22"/>
          <w:i w:val="1"/>
          <w:iCs w:val="1"/>
          <w:color w:val="auto"/>
        </w:rPr>
        <w:t>plus</w:t>
      </w:r>
    </w:p>
    <w:p>
      <w:pPr>
        <w:spacing w:after="0" w:line="150" w:lineRule="exact"/>
        <w:rPr>
          <w:sz w:val="20"/>
          <w:szCs w:val="20"/>
          <w:color w:val="auto"/>
        </w:rPr>
      </w:pPr>
    </w:p>
    <w:p>
      <w:pPr>
        <w:jc w:val="both"/>
        <w:ind w:firstLine="656"/>
        <w:spacing w:after="0" w:line="220"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all voluntary prepayments of the Revolving Loans (to the extent accompanied by permanent reductions of the Revolving Commitments), Incremental Term Loans or any other Indebtedness that is not Subordinated Debt (except, in each case, to the extent funded with proceeds of Long-Term Debt or any Refinancing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(b) will serve to replenish, but not exceed, the amount set forth in the following clause (c); </w:t>
      </w:r>
      <w:r>
        <w:rPr>
          <w:rFonts w:ascii="Times New Roman" w:cs="Times New Roman" w:eastAsia="Times New Roman" w:hAnsi="Times New Roman"/>
          <w:sz w:val="22"/>
          <w:szCs w:val="22"/>
          <w:i w:val="1"/>
          <w:iCs w:val="1"/>
          <w:color w:val="auto"/>
        </w:rPr>
        <w:t>plus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$75,000,000, which amount (i) shall be reduced by, without duplication, the aggregate principal amount of all Incremental Facilities and Incremental Equivalent Debt incurred in reliance on this clause (c), but (ii) shall not be reduced by the amount of any Incremental Facility or Incremental Equivalent Debt incurred or issued in reliance on the immediately preceding clause (b);</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for the avoidance of doubt, to the extent the proceeds of any Incremental Facilities or Incremental Equivalent Debt are being utilized to repay Indebtedness, such calculations shall give effect on a Pro Forma Basis to such repayments, (ii) the Company may elect to use clause (a) above regardless of whether the Company has capacity under clause (b) or clause (c) above, (iii) the Company may elect to use clause (a) above prior to using clause (b) above or clause (c) above, and (iv) if both clause (a) and clause (b) and/or clause (c) above are available and the Company does not make an election, then the Company will be deemed to have elected to use clause (a) above.</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Revolving Credit Maturity Date or the date that the Revolving Commitments are terminated pursuant to the terms hereof.</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BAG Entity</w:t>
      </w:r>
      <w:r>
        <w:rPr>
          <w:rFonts w:ascii="Times New Roman" w:cs="Times New Roman" w:eastAsia="Times New Roman" w:hAnsi="Times New Roman"/>
          <w:sz w:val="22"/>
          <w:szCs w:val="22"/>
          <w:color w:val="auto"/>
        </w:rPr>
        <w:t>” means, collectively, (a) Broad Arrow Capital LLC, a Michigan limited liability company, (b) Broad Arrow Capital UK Limited, a private company incorporated in England and Wales, (c) Broad Arrow Capital FP Limited, a private company incorporated in England and Wales, and (d) any other entities as disclosed from time to time to the Administrative Agent in writing.</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BAG Guarantee</w:t>
      </w:r>
      <w:r>
        <w:rPr>
          <w:rFonts w:ascii="Times New Roman" w:cs="Times New Roman" w:eastAsia="Times New Roman" w:hAnsi="Times New Roman"/>
          <w:sz w:val="22"/>
          <w:szCs w:val="22"/>
          <w:color w:val="auto"/>
        </w:rPr>
        <w:t>” means (a) any Guarantee by a BAG Entity of the repayment of all or any portion of a BAG Loan made by any third-party co-lender (that is not an Affiliate of the Company), including any advance of funds made by a BAG Entity to a third-party obligor for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97" w:name="page98"/>
    <w:bookmarkEnd w:id="97"/>
    <w:p>
      <w:pPr>
        <w:jc w:val="both"/>
        <w:spacing w:after="0" w:line="257" w:lineRule="auto"/>
        <w:rPr>
          <w:sz w:val="20"/>
          <w:szCs w:val="20"/>
          <w:color w:val="auto"/>
        </w:rPr>
      </w:pPr>
      <w:r>
        <w:rPr>
          <w:rFonts w:ascii="Times New Roman" w:cs="Times New Roman" w:eastAsia="Times New Roman" w:hAnsi="Times New Roman"/>
          <w:sz w:val="22"/>
          <w:szCs w:val="22"/>
          <w:color w:val="auto"/>
        </w:rPr>
        <w:t>sale of collateral through an auction to the public, or (b) any pledge by a BAG Entity of its rights, title and interests in any BAG Loan as collateral for all or any portion of a BAG Loan made by any third-party co-lender (that is not an Affiliate of the Company).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BAG Loan</w:t>
      </w:r>
      <w:r>
        <w:rPr>
          <w:rFonts w:ascii="Times New Roman" w:cs="Times New Roman" w:eastAsia="Times New Roman" w:hAnsi="Times New Roman"/>
          <w:sz w:val="22"/>
          <w:szCs w:val="22"/>
          <w:color w:val="auto"/>
        </w:rPr>
        <w:t>” means a loan or a participation in a loan to a third-party customer (that is not an Affiliate of the Company) that is (a) secured by one or more vehicles pledged as collateral for such loan by such third-party customer and (b) made in whole or in part by a BAG Entity.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Services</w:t>
      </w:r>
      <w:r>
        <w:rPr>
          <w:rFonts w:ascii="Times New Roman" w:cs="Times New Roman" w:eastAsia="Times New Roman" w:hAnsi="Times New Roman"/>
          <w:sz w:val="22"/>
          <w:szCs w:val="22"/>
          <w:color w:val="auto"/>
        </w:rPr>
        <w:t>” means each and any of the following bank services provided to any Borrower or any Restricted Subsidiary: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 and cash pooling services).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Services Obligations</w:t>
      </w:r>
      <w:r>
        <w:rPr>
          <w:rFonts w:ascii="Times New Roman" w:cs="Times New Roman" w:eastAsia="Times New Roman" w:hAnsi="Times New Roman"/>
          <w:sz w:val="22"/>
          <w:szCs w:val="22"/>
          <w:color w:val="auto"/>
        </w:rPr>
        <w:t>” means any and all obligations of the Borrowers or their Restricted Subsidiaries (other than Securitization SPEs) with respect to any Banking Services provided by any Lender or any of its Affiliates, whether absolute or contingent and howsoever and whensoever created, arising, evidenced or acquired (including all renewals, extensions and modifications thereof and substitutions therefor) in connection with Banking Services.</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53" w:lineRule="auto"/>
        <w:rPr>
          <w:sz w:val="20"/>
          <w:szCs w:val="20"/>
          <w:color w:val="auto"/>
        </w:rPr>
      </w:pPr>
      <w:r>
        <w:rPr>
          <w:rFonts w:ascii="Times New Roman" w:cs="Times New Roman" w:eastAsia="Times New Roman" w:hAnsi="Times New Roman"/>
          <w:sz w:val="22"/>
          <w:szCs w:val="22"/>
          <w:color w:val="auto"/>
        </w:rPr>
        <w:t>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u w:val="single" w:color="auto"/>
          <w:color w:val="auto"/>
        </w:rPr>
        <w:t>Basel III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means:</w:t>
      </w:r>
    </w:p>
    <w:p>
      <w:pPr>
        <w:spacing w:after="0" w:line="199" w:lineRule="exact"/>
        <w:rPr>
          <w:sz w:val="20"/>
          <w:szCs w:val="20"/>
          <w:color w:val="auto"/>
        </w:rPr>
      </w:pPr>
    </w:p>
    <w:p>
      <w:pPr>
        <w:jc w:val="both"/>
        <w:ind w:firstLine="656"/>
        <w:spacing w:after="0" w:line="220"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rules for global systemically important banks contained in “Global systemically important banks: assessment methodology and the additional loss absorbency requirement –Rules text” published by the Basel Committee on Banking Supervision in November 2011, as amended, supplemented or restated; and</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further guidance or standards published by the Basel Committee on Banking Supervision relating to “Basel</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(i) RFR Loan denominated in any Agreed Currency, the applicable Relevant Rate for such Agreed Currency or (ii) Term Benchmark Loan denominated in any Agreed Currency, the Relevant Rate for such Agreed Currency;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(2) below:</w:t>
      </w:r>
    </w:p>
    <w:p>
      <w:pPr>
        <w:spacing w:after="0" w:line="140"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Loan denominated in Dollars, the Daily Simple SOFR; or</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36" w:lineRule="auto"/>
        <w:rPr>
          <w:sz w:val="20"/>
          <w:szCs w:val="20"/>
          <w:color w:val="auto"/>
        </w:rPr>
      </w:pPr>
      <w:r>
        <w:rPr>
          <w:rFonts w:ascii="Times New Roman" w:cs="Times New Roman" w:eastAsia="Times New Roman" w:hAnsi="Times New Roman"/>
          <w:sz w:val="22"/>
          <w:szCs w:val="22"/>
          <w:color w:val="auto"/>
        </w:rPr>
        <w:t>syndicated credit facilities denominated in the applicable Agreed Currency at such time in the United States and (b) the related Benchmark Replacement Adjustment.</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such then-current Benchmark:</w:t>
      </w:r>
    </w:p>
    <w:p>
      <w:pPr>
        <w:spacing w:after="0" w:line="131" w:lineRule="exact"/>
        <w:rPr>
          <w:sz w:val="20"/>
          <w:szCs w:val="20"/>
          <w:color w:val="auto"/>
        </w:rPr>
      </w:pPr>
    </w:p>
    <w:p>
      <w:pPr>
        <w:jc w:val="both"/>
        <w:ind w:firstLine="656"/>
        <w:spacing w:after="0" w:line="220"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00" w:name="page101"/>
    <w:bookmarkEnd w:id="100"/>
    <w:p>
      <w:pPr>
        <w:jc w:val="both"/>
        <w:ind w:firstLine="656"/>
        <w:spacing w:after="0" w:line="213"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and even if such Benchmark (or component thereof), or if such Benchmark is a term rate, any Available Tenor of such Benchmark (or such component thereof) continues to be provided on such date;</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44" w:lineRule="exact"/>
        <w:rPr>
          <w:sz w:val="20"/>
          <w:szCs w:val="20"/>
          <w:color w:val="auto"/>
        </w:rPr>
      </w:pPr>
    </w:p>
    <w:p>
      <w:pPr>
        <w:jc w:val="both"/>
        <w:ind w:firstLine="656"/>
        <w:spacing w:after="0" w:line="217"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52"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01" w:name="page102"/>
    <w:bookmarkEnd w:id="101"/>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Blocking Law</w:t>
      </w:r>
      <w:r>
        <w:rPr>
          <w:rFonts w:ascii="Times New Roman" w:cs="Times New Roman" w:eastAsia="Times New Roman" w:hAnsi="Times New Roman"/>
          <w:sz w:val="22"/>
          <w:szCs w:val="22"/>
          <w:color w:val="auto"/>
        </w:rPr>
        <w:t>” has the meaning assigned to it in Section 3.18.</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Blocking Regulation</w:t>
      </w:r>
      <w:r>
        <w:rPr>
          <w:rFonts w:ascii="Times New Roman" w:cs="Times New Roman" w:eastAsia="Times New Roman" w:hAnsi="Times New Roman"/>
          <w:sz w:val="22"/>
          <w:szCs w:val="22"/>
          <w:color w:val="auto"/>
        </w:rPr>
        <w:t>” has the meaning assigned to it in Section 3.18.</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(1) with respect to a corporation, the board of directors of the corporation or such directors or committee serving a similar function; (2) with respect to a limited liability company, the board of managers of the company or such managers or committee serving a similar function; (3) with respect to a partnership, the Board of Directors of the general partner of the partnership; and (4) with respect to any other Person, the managers, directors, trustees, board or committee of such Person or its owners serving a similar function.</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DTTP Filing</w:t>
      </w:r>
      <w:r>
        <w:rPr>
          <w:rFonts w:ascii="Times New Roman" w:cs="Times New Roman" w:eastAsia="Times New Roman" w:hAnsi="Times New Roman"/>
          <w:sz w:val="22"/>
          <w:szCs w:val="22"/>
          <w:color w:val="auto"/>
        </w:rPr>
        <w:t>” means an HM Revenue &amp; Customs’ Form DTTP2, duly completed and filed by the relevant Borrower within the applicable time limit, which contains the scheme reference number and jurisdiction of tax residence provided by a Lender to such Borrower and the Administrative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Representative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9.25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means the Company and the Foreign Subsidiary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2" w:name="page103"/>
    <w:bookmarkEnd w:id="102"/>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Loans of the same Type, made, converted or continued on the same date and, in the case of Term Benchmark Loans, as to which a single Interest Period is in effect, (b) Incremental Term Loans of the same Class and Type, made, converted or continued on the same date and, in the case of Term Benchmark Loans, as to which a single Interest Period is in effect, or (c) a Swingline Loan.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means a request by a Borrower for a Borrowing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which shall be substantially in the form separately provided to the Borrower Representative by the Administrative Agent prior to the date of this Agreement, or such alternate form as may be mutually agreed by the Administrative Agent and the Borrower Representative from time to time.</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a Sunday) on which banks are open for business in New York City or London, as applicable; provided 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 RFR Business Day, (c) in relation to Loans referencing the Term SOFR Rate and any interest rate settings, fundings, disbursements, settlements or payments of any such Loans referencing the Term SOFR Rate or any other dealings of such Loans referencing the Term SOFR Rate, any such day that is a U.S. Government Securities Business Day and (d) in relation to Loans denominated in any other Agreed Currency or any interest rate settings, fundings, disbursements, settlements or payments of any CBR Loan or CBR Borrowing, any day on which dealings in the applicable Agreed Currency are carried on in the principal financial center of such Agreed Currency.</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without duplication, any expenditure or commitment to expend money for any purchase or other acquisition of any asset which would be classified as a fixed or capital asset on a consolidated balance sheet of the Company and its Restricted Subsidiaries prepared in accordance with GAAP.</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xml:space="preserve">” of any Person means, subject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the obligations of such Person to pay rent or other amounts under any lease of (or other arrangement conveying the right to use) real or personal property, or a combination thereof, which obligations are required to be classified and accounted for as capital or financing leases on a balance sheet of such Person under GAAP ASC 840 or 842, and the amount of such obligations shall be the capitalized amount thereof determined in accordance with GAAP.</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CBR</w:t>
      </w:r>
      <w:r>
        <w:rPr>
          <w:rFonts w:ascii="Times New Roman" w:cs="Times New Roman" w:eastAsia="Times New Roman" w:hAnsi="Times New Roman"/>
          <w:sz w:val="22"/>
          <w:szCs w:val="22"/>
          <w:color w:val="auto"/>
        </w:rPr>
        <w:t>”, when used in reference to any Loan or Borrowing, refers to whether such Loan, or the Loans comprising such Borrowing, bear interest at a rate determined by reference to the Central Bank 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CBR Spread</w:t>
      </w:r>
      <w:r>
        <w:rPr>
          <w:rFonts w:ascii="Times New Roman" w:cs="Times New Roman" w:eastAsia="Times New Roman" w:hAnsi="Times New Roman"/>
          <w:sz w:val="21"/>
          <w:szCs w:val="21"/>
          <w:color w:val="auto"/>
        </w:rPr>
        <w:t>” means, with respect to any Loan, the Applicable Margin applicable to such Loan that is replaced by a CBR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3" w:name="page104"/>
    <w:bookmarkEnd w:id="103"/>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Central Bank Rate</w:t>
      </w:r>
      <w:r>
        <w:rPr>
          <w:rFonts w:ascii="Times New Roman" w:cs="Times New Roman" w:eastAsia="Times New Roman" w:hAnsi="Times New Roman"/>
          <w:sz w:val="22"/>
          <w:szCs w:val="22"/>
          <w:color w:val="auto"/>
        </w:rPr>
        <w:t>” means, for any day, a rate per annum equal to the greater of (I) the sum of (A)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determined after the Effective Date, a central bank rate as determined by the Administrative Agent in its reasonable discretion (any reference rate described in this clause (A) for any Alternative Currency being referred to as a “</w:t>
      </w:r>
      <w:r>
        <w:rPr>
          <w:rFonts w:ascii="Times New Roman" w:cs="Times New Roman" w:eastAsia="Times New Roman" w:hAnsi="Times New Roman"/>
          <w:sz w:val="22"/>
          <w:szCs w:val="22"/>
          <w:u w:val="single" w:color="auto"/>
          <w:color w:val="auto"/>
        </w:rPr>
        <w:t>CBR Reference Rate</w:t>
      </w:r>
      <w:r>
        <w:rPr>
          <w:rFonts w:ascii="Times New Roman" w:cs="Times New Roman" w:eastAsia="Times New Roman" w:hAnsi="Times New Roman"/>
          <w:sz w:val="22"/>
          <w:szCs w:val="22"/>
          <w:color w:val="auto"/>
        </w:rPr>
        <w:t>”), plus (B) the applicable Central Bank Rate Adjustment and (II) the Floor. Any change in the Central Bank Rate for any Alternative Currency due to a change in the CBR Reference Rate or the Central Bank Rate Adjustment for such Alternative Currency shall be effective from and including the effective date of such change in the CBR Reference Rate or the Central Bank Rate Adjustment, respectively.</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Central Bank Rate Adjustment</w:t>
      </w:r>
      <w:r>
        <w:rPr>
          <w:rFonts w:ascii="Times New Roman" w:cs="Times New Roman" w:eastAsia="Times New Roman" w:hAnsi="Times New Roman"/>
          <w:sz w:val="22"/>
          <w:szCs w:val="22"/>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Daily Simple RFR for Sterling Borrowings for the five most recent RFR Business Days preceding such day for which Daily Simple RFR for Sterling Borrowings was available (excluding, from such averaging, the highest and the lowest such Daily Simple RFR applicable during such period of five RFR Business Days) minus (ii) the Central Bank Rate in respect of Sterling in effect on the last RFR Business Day in such period, and (c) any other Alternative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 Holdco</w:t>
      </w:r>
      <w:r>
        <w:rPr>
          <w:rFonts w:ascii="Times New Roman" w:cs="Times New Roman" w:eastAsia="Times New Roman" w:hAnsi="Times New Roman"/>
          <w:sz w:val="22"/>
          <w:szCs w:val="22"/>
          <w:color w:val="auto"/>
        </w:rPr>
        <w:t>” means any direct or indirect Domestic Subsidiary, (a) substantially all of the assets of which consist of Equity Interests or indebtedness of one or more direct or indirect Foreign Subsidiaries or (b) that is treated as a disregarded entity for United States federal income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4" w:name="page105"/>
    <w:bookmarkEnd w:id="104"/>
    <w:p>
      <w:pPr>
        <w:spacing w:after="0" w:line="271" w:lineRule="auto"/>
        <w:rPr>
          <w:sz w:val="20"/>
          <w:szCs w:val="20"/>
          <w:color w:val="auto"/>
        </w:rPr>
      </w:pPr>
      <w:r>
        <w:rPr>
          <w:rFonts w:ascii="Times New Roman" w:cs="Times New Roman" w:eastAsia="Times New Roman" w:hAnsi="Times New Roman"/>
          <w:sz w:val="22"/>
          <w:szCs w:val="22"/>
          <w:color w:val="auto"/>
        </w:rPr>
        <w:t>tax purposes, that has no material assets other than Equity Interests or indebtedness of one or more direct or indirect Foreign Subsidiaries.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w:t>
      </w:r>
    </w:p>
    <w:p>
      <w:pPr>
        <w:spacing w:after="0" w:line="206" w:lineRule="exact"/>
        <w:rPr>
          <w:sz w:val="20"/>
          <w:szCs w:val="20"/>
          <w:color w:val="auto"/>
        </w:rPr>
      </w:pPr>
    </w:p>
    <w:p>
      <w:pPr>
        <w:jc w:val="both"/>
        <w:ind w:firstLine="656"/>
        <w:spacing w:after="0" w:line="215"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within the meaning of Rules 13d-3 and 13d-5 under the Exchange Act (other than (x) any employee benefit plan of such person and its subsidiaries and any person or entity acting in its capacity as trustee, agent or other fiduciary or administrator of any such plan and (y) any combination of Permitted Holders) shall have, directly or indirectly, acquired beneficial ownership of voting Equity Interests of the Company representing more than the greater of (i) 35% of the fully diluted voting rights of voting Equity Interests of the Company and (ii) the percentage of the voting rights of voting Equity Interests of the Company held by the Permitted Holders; or</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within the meaning of Rules 13d-3 and 13d-5 under the Exchange Act (other than (x) any employee benefit plan of such person and its subsidiaries and any person or entity acting in its capacity as trustee, agent or other fiduciary or administrator of any such plan and (y) any combination of Permitted Holders) shall have, directly or indirectly, acquired beneficial ownership of voting Equity Interests of Aldel Financial representing more than the greater of (i) 35% of the fully diluted voting rights of voting Equity Interests of Aldel Financial and (ii) the percentage of the voting rights of voting Equity Interests of Aldel Financial held by the Permitted Holders; or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Subsidiary Borrower shall cease to be a Wholly-Owned Subsidiary of the Company.</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Notwithstanding the foregoing, the reorganization of the ownership of the Company or any other equity owner of the Company (including the insertion of any Holdco Entity) shall not constitute a Change in Control so long as, after giving effect to such reorganization, no “Change in Control” would result based on the ultimate indirect beneficial ownership of the Company.</w:t>
      </w:r>
    </w:p>
    <w:p>
      <w:pPr>
        <w:spacing w:after="0" w:line="15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compliance by any Lender or the Issuing Bank (or by any lending office of such Lender or by such Lender’s or the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CRD IV or CRR, shall in each case be deemed to be a “Change in Law”, regardless of the date enacted, adopted, issued or implemented.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w:t>
      </w:r>
      <w:r>
        <w:rPr>
          <w:rFonts w:ascii="Times New Roman" w:cs="Times New Roman" w:eastAsia="Times New Roman" w:hAnsi="Times New Roman"/>
          <w:sz w:val="22"/>
          <w:szCs w:val="22"/>
          <w:color w:val="auto"/>
        </w:rPr>
        <w:t>” means any loss, cost, fee, charge, expense, accrual or reserve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5" w:name="page106"/>
    <w:bookmarkEnd w:id="105"/>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 any Loan or Borrowing, refers to whether such Loan, or the Loans comprising such Borrowing, are Revolving Loans, Incremental Term Loans, Swingline Loans or any additional class of loans added pursuant to Section 2.08(e) and/or 2.23, (b) any Commitment, refers to whether such Commitment is a Revolving Commitment, an Incremental Term Loan Commitment or a commitment to provide any other class of loans contemplated by Section 2.08(e), and/or 2.23 and (c) any Lender, refers to whether such Lender is a Revolving Lender or a Lender holding commitments or loans constituting another class contemplated by Section 2.08(e) and/or 2.23.</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 Term SOFR Administrator</w:t>
      </w:r>
      <w:r>
        <w:rPr>
          <w:rFonts w:ascii="Times New Roman" w:cs="Times New Roman" w:eastAsia="Times New Roman" w:hAnsi="Times New Roman"/>
          <w:sz w:val="22"/>
          <w:szCs w:val="22"/>
          <w:color w:val="auto"/>
        </w:rPr>
        <w:t>” means CME Group Benchmark Administration Limited as administrator of the forward-looking term SOFR (or a successor administrator).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 Revolving Commitment, an Incremental Revolving Commitment, an Incremental Term Loan Commitment or a commitment to provide any other class of loans contemplated by Section 2.08(e), and/or Section 2.23.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Schedule</w:t>
      </w:r>
      <w:r>
        <w:rPr>
          <w:rFonts w:ascii="Times New Roman" w:cs="Times New Roman" w:eastAsia="Times New Roman" w:hAnsi="Times New Roman"/>
          <w:sz w:val="22"/>
          <w:szCs w:val="22"/>
          <w:color w:val="auto"/>
        </w:rPr>
        <w:t>” means the Commitment Schedule attached hereto as Annex I.</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Hagerty Group, LLC, a Delaware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means a certificate of a Financial Officer of the Company in substantially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means, with respect to any period:</w:t>
      </w:r>
    </w:p>
    <w:p>
      <w:pPr>
        <w:spacing w:after="0" w:line="193"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Consolidated Net Income for such period, </w:t>
      </w:r>
      <w:r>
        <w:rPr>
          <w:rFonts w:ascii="Times New Roman" w:cs="Times New Roman" w:eastAsia="Times New Roman" w:hAnsi="Times New Roman"/>
          <w:sz w:val="22"/>
          <w:szCs w:val="22"/>
          <w:u w:val="single" w:color="auto"/>
          <w:color w:val="auto"/>
        </w:rPr>
        <w:t>plus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in each case to the extent deducted (other than in the case of clauses (b)(viii), (b)(xiii) and (b)(xv) below to the extent the items set forth therein have not been deducted from Consolidated Net Income, provided that items described in clauses (b)(viii) or (b)(xiii) below that are attributable to Restricted Subsidiaries that are not Loan Parties shall not be added back to Consolidated EBITDA) in the calculation of such Consolidated Net Income, but without duplication:</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for such period;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6" w:name="page107"/>
    <w:bookmarkEnd w:id="106"/>
    <w:p>
      <w:pPr>
        <w:jc w:val="both"/>
        <w:ind w:left="-460" w:firstLine="644"/>
        <w:spacing w:after="0" w:line="236" w:lineRule="auto"/>
        <w:tabs>
          <w:tab w:leader="none" w:pos="83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income tax expense (including (A) penalties and interest related to any such Tax or arising from any Tax examination, (B) pursuant to any Tax sharing arrangement or as a result of any Tax distribution and (C) in respect of repatriated funds) of such Person during such period and any distributions by the Company with respect to the foregoing;</w:t>
      </w:r>
    </w:p>
    <w:p>
      <w:pPr>
        <w:spacing w:after="0" w:line="151" w:lineRule="exact"/>
        <w:rPr>
          <w:rFonts w:ascii="Times New Roman" w:cs="Times New Roman" w:eastAsia="Times New Roman" w:hAnsi="Times New Roman"/>
          <w:sz w:val="21"/>
          <w:szCs w:val="21"/>
          <w:color w:val="auto"/>
        </w:rPr>
      </w:pPr>
    </w:p>
    <w:p>
      <w:pPr>
        <w:ind w:left="840" w:hanging="656"/>
        <w:spacing w:after="0"/>
        <w:tabs>
          <w:tab w:leader="none" w:pos="8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expense for such period;</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expense for such period;</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non-cash Charges for such period (but excluding any non-cash Charge in respect of an item that was included in Consolidated Net Income in a prior period and any non-cash Charge that relates to the write-down or write-off of inventory);</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0" w:lineRule="auto"/>
        <w:tabs>
          <w:tab w:leader="none" w:pos="82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amount of discretionary executive compensation paid to members of the Company outside the ordinary course of business not in excess of $1,000,000 and (B) fees and expenses paid or reimbursed in cash to independent directors of the Company in an aggregate amount not to exceed $1,000,000 during any period of four consecutive Fiscal Quarters;</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12" w:lineRule="auto"/>
        <w:tabs>
          <w:tab w:leader="none" w:pos="83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one-time or extraordinary, non-recurring or unusual Charges, including, without limitation, in connection with (A) Permitted Acquisitions or similar Investments during such period, (B) the consolidation or closing of any facility/location during such period, (C) professional services and capital expense items, (D) expenses consisting of internal software development costs that are expensed during the period but could have been capitalized under alternative accounting policies in accordance with GAAP, and (E) Public Company Costs (collectively, “</w:t>
      </w:r>
      <w:r>
        <w:rPr>
          <w:rFonts w:ascii="Times New Roman" w:cs="Times New Roman" w:eastAsia="Times New Roman" w:hAnsi="Times New Roman"/>
          <w:sz w:val="22"/>
          <w:szCs w:val="22"/>
          <w:u w:val="single" w:color="auto"/>
          <w:color w:val="auto"/>
        </w:rPr>
        <w:t>Cash Non-Recurring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Cash Non-Recurring Charges added back under this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shall not exceed the greater of (x) $25,000,000 and (y) 15% of Consolidated EBITDA (calculated before giving effect to such add backs);</w:t>
      </w:r>
    </w:p>
    <w:p>
      <w:pPr>
        <w:spacing w:after="0" w:line="156" w:lineRule="exact"/>
        <w:rPr>
          <w:rFonts w:ascii="Times New Roman" w:cs="Times New Roman" w:eastAsia="Times New Roman" w:hAnsi="Times New Roman"/>
          <w:sz w:val="22"/>
          <w:szCs w:val="22"/>
          <w:color w:val="auto"/>
        </w:rPr>
      </w:pPr>
    </w:p>
    <w:p>
      <w:pPr>
        <w:jc w:val="both"/>
        <w:ind w:left="-460" w:firstLine="644"/>
        <w:spacing w:after="0" w:line="213" w:lineRule="auto"/>
        <w:tabs>
          <w:tab w:leader="none" w:pos="8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(A) the proceeds of business interruption insurance in an amount representing the earnings for the applicable period that such proceeds are intended to replace, (B) fees, costs and expenses to the extent reimbursable by third parties pursuant to any indemnification, insurance, reimbursement or similar agreement or arrangement and (C) other Charges reimbursable by a third party (in each case under this </w:t>
      </w:r>
      <w:r>
        <w:rPr>
          <w:rFonts w:ascii="Times New Roman" w:cs="Times New Roman" w:eastAsia="Times New Roman" w:hAnsi="Times New Roman"/>
          <w:sz w:val="22"/>
          <w:szCs w:val="22"/>
          <w:u w:val="single" w:color="auto"/>
          <w:color w:val="auto"/>
        </w:rPr>
        <w:t>clause (viii)</w:t>
      </w:r>
      <w:r>
        <w:rPr>
          <w:rFonts w:ascii="Times New Roman" w:cs="Times New Roman" w:eastAsia="Times New Roman" w:hAnsi="Times New Roman"/>
          <w:sz w:val="22"/>
          <w:szCs w:val="22"/>
          <w:color w:val="auto"/>
        </w:rPr>
        <w:t>, whether or not received so long as such Person in good faith expects to receive the same within the next four Fiscal Quarters (it being understood that to the extent not actually received within such Fiscal Quarters, such proceeds shall be deducted in calculating Consolidated EBITDA for such Fiscal Quarters));</w:t>
      </w:r>
    </w:p>
    <w:p>
      <w:pPr>
        <w:spacing w:after="0" w:line="156"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transaction fees and expenses incurred in connection with Acquisitions, Investments, restricted payments, dispositions, consolidations, restructurings, recapitalizations, or issuances or amendments of indebtedness or equity permitted under the Loan Documents, in each case, whether or not consummated,</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0" w:lineRule="auto"/>
        <w:tabs>
          <w:tab w:leader="none" w:pos="82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expenses and fees paid to Administrative Agent and the Lenders in connection with the administration of the Loan Documents (including any amendment, restatement, amendment and restatement, supplement or modification thereto or waiver or consent thereunder) and similar fees and expenses paid under the definitive documentation for other Indebtedness permitted hereunder,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95" w:right="339" w:bottom="1440" w:gutter="0" w:footer="0" w:header="0"/>
        </w:sectPr>
      </w:pPr>
    </w:p>
    <w:bookmarkStart w:id="107" w:name="page108"/>
    <w:bookmarkEnd w:id="107"/>
    <w:p>
      <w:pPr>
        <w:ind w:left="1284" w:hanging="636"/>
        <w:spacing w:after="0"/>
        <w:tabs>
          <w:tab w:leader="none" w:pos="128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losses from dispositions outside the ordinary course;</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6" w:lineRule="auto"/>
        <w:tabs>
          <w:tab w:leader="none" w:pos="13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cost savings, operating expense reductions and cost synergies that result from actions taken (or with respect to which substantial steps have been taken) in connection with (A) any Permitted Acquisition or other Investment or (B) or any cost savings initiatives, operating improvements, restructurings, cost savings and similar initiatives, in each case, projected by the Company in good faith to be realized (or, in with respect of actions for which substantial steps have been taken, to be fully realized on a run-rate basis) within twelve (12) months after such transaction is consummated or such substantial steps have been taken and calculated on a “run rate” basis such that the full recurring benefit associated therewith is taken into account, net of the amount of actual amount realized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Financial Officer of the Company shall have provided a reasonably detailed statement or schedule of such costs savings (the “</w:t>
      </w:r>
      <w:r>
        <w:rPr>
          <w:rFonts w:ascii="Times New Roman" w:cs="Times New Roman" w:eastAsia="Times New Roman" w:hAnsi="Times New Roman"/>
          <w:sz w:val="21"/>
          <w:szCs w:val="21"/>
          <w:u w:val="single" w:color="auto"/>
          <w:color w:val="auto"/>
        </w:rPr>
        <w:t>Company Certified Cost Savings</w:t>
      </w:r>
      <w:r>
        <w:rPr>
          <w:rFonts w:ascii="Times New Roman" w:cs="Times New Roman" w:eastAsia="Times New Roman" w:hAnsi="Times New Roman"/>
          <w:sz w:val="21"/>
          <w:szCs w:val="21"/>
          <w:color w:val="auto"/>
        </w:rPr>
        <w:t>”) and shall have certified to the Administrative Agent and the Lenders that (x) such cost saving are reasonably identifiable, factually supportable and reasonably attributable to the actions (or substantial steps) specified and (y) such actions (or substantial steps) have been taken on or prior to the last day of the measurement period and are ongoing, provided, further, that the aggregate amount added back under this clause (xiii) shall not exceed the sum of (I) fifteen percent (15.0%) of Consolidated EBITDA (calculated before giving effect to such add backs), plus</w:t>
      </w:r>
    </w:p>
    <w:p>
      <w:pPr>
        <w:spacing w:after="0" w:line="6" w:lineRule="exact"/>
        <w:rPr>
          <w:rFonts w:ascii="Times New Roman" w:cs="Times New Roman" w:eastAsia="Times New Roman" w:hAnsi="Times New Roman"/>
          <w:sz w:val="21"/>
          <w:szCs w:val="21"/>
          <w:color w:val="auto"/>
        </w:rPr>
      </w:pPr>
    </w:p>
    <w:p>
      <w:pPr>
        <w:ind w:left="4" w:hanging="4"/>
        <w:spacing w:after="0" w:line="225" w:lineRule="auto"/>
        <w:tabs>
          <w:tab w:leader="none" w:pos="3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adjustments and add-backs directly resulting from such Company Certified Cost Savings consistent with SEC Regulations S-K, Item 10(e) (except to the extent such adjustments are “run rate” adjustments);</w:t>
      </w:r>
    </w:p>
    <w:p>
      <w:pPr>
        <w:spacing w:after="0" w:line="149"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28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during such period in connection with earnouts and other deferred payments in connection with any Permitted Acquisition or other Investments permitted hereunder, to the extent required to be included in the calculation of Consolidated Net Income in accordance with GAAP as an accounting adjustment to the extent that the actual amount payable or paid in respect of such earnout or other deferred payment exceeds the liability booked by the applicable Person therefor; and</w:t>
      </w:r>
    </w:p>
    <w:p>
      <w:pPr>
        <w:spacing w:after="0" w:line="152"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the Permitted Insurance Subsidiary Dividends; </w:t>
      </w:r>
      <w:r>
        <w:rPr>
          <w:rFonts w:ascii="Times New Roman" w:cs="Times New Roman" w:eastAsia="Times New Roman" w:hAnsi="Times New Roman"/>
          <w:sz w:val="22"/>
          <w:szCs w:val="22"/>
          <w:u w:val="single" w:color="auto"/>
          <w:color w:val="auto"/>
        </w:rPr>
        <w:t>minus</w:t>
      </w:r>
    </w:p>
    <w:p>
      <w:pPr>
        <w:spacing w:after="0" w:line="179" w:lineRule="exact"/>
        <w:rPr>
          <w:sz w:val="20"/>
          <w:szCs w:val="20"/>
          <w:color w:val="auto"/>
        </w:rPr>
      </w:pPr>
    </w:p>
    <w:p>
      <w:pPr>
        <w:ind w:left="644" w:hanging="644"/>
        <w:spacing w:after="0"/>
        <w:tabs>
          <w:tab w:leader="none" w:pos="6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to the extent included in Consolidated Net Income and without duplication:</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income or non-cash gains realized other than in the ordinary course of business;</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of any Restricted Subsidiary (other than a Guarantor) to the extent that the declaration or payment of Restricted Payments or transfers or loans by such Restricted Subsidiary is not at the time permitted by operation of the terms of its charter or any agreement, instrument, judgment, decree, statute, rule or governmental regulation applicable to such Restricted Subsidiary;</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3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of any Permitted Joint Venture, except (x) to the extent of the amount of Restricted Payments actually paid in cash to a Borrower or a Guarantor by such Permitted Joint Venture or (y) the income of any Permitted Joint Venture if a Borrower or a Guarantor owns 60% or more of the Equity Interests thereof (each a “</w:t>
      </w:r>
      <w:r>
        <w:rPr>
          <w:rFonts w:ascii="Times New Roman" w:cs="Times New Roman" w:eastAsia="Times New Roman" w:hAnsi="Times New Roman"/>
          <w:sz w:val="22"/>
          <w:szCs w:val="22"/>
          <w:u w:val="single" w:color="auto"/>
          <w:color w:val="auto"/>
        </w:rPr>
        <w:t>Qualified 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Joint Venture</w:t>
      </w:r>
      <w:r>
        <w:rPr>
          <w:rFonts w:ascii="Times New Roman" w:cs="Times New Roman" w:eastAsia="Times New Roman" w:hAnsi="Times New Roman"/>
          <w:sz w:val="22"/>
          <w:szCs w:val="22"/>
          <w:color w:val="auto"/>
        </w:rPr>
        <w:t>”), provided that the portion of Consolidated EBITDA calculated under this definition for any four consecutive Fiscal Quarter period that is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319405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95" w:right="339" w:bottom="1440" w:gutter="0" w:footer="0" w:header="0"/>
        </w:sectPr>
      </w:pPr>
    </w:p>
    <w:bookmarkStart w:id="108" w:name="page109"/>
    <w:bookmarkEnd w:id="108"/>
    <w:p>
      <w:pPr>
        <w:ind w:left="660"/>
        <w:spacing w:after="0" w:line="236" w:lineRule="auto"/>
        <w:rPr>
          <w:sz w:val="20"/>
          <w:szCs w:val="20"/>
          <w:color w:val="auto"/>
        </w:rPr>
      </w:pPr>
      <w:r>
        <w:rPr>
          <w:rFonts w:ascii="Times New Roman" w:cs="Times New Roman" w:eastAsia="Times New Roman" w:hAnsi="Times New Roman"/>
          <w:sz w:val="22"/>
          <w:szCs w:val="22"/>
          <w:color w:val="auto"/>
        </w:rPr>
        <w:t>attributable to all Qualified Permitted Joint Ventures shall be limited to the lesser of (1) 10% of such Consolidated EBITDA and (2) $15,000,000;</w:t>
      </w:r>
    </w:p>
    <w:p>
      <w:pPr>
        <w:spacing w:after="0" w:line="150" w:lineRule="exact"/>
        <w:rPr>
          <w:sz w:val="20"/>
          <w:szCs w:val="20"/>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non-recurring or unusual gains;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gains from Dispositions outside the ordinary course,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calculated for the Company and its Restricted Subsidiaries on a consolidated basis in accordance with GAAP.</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xml:space="preserve">” means, with reference to any period, the interest expense of the Company and its Restricted Subsidiaries calculated on a consolidated basis in accordance with GAAP for such period and paid in cash during the relevant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Consolidated Interest Expense shall exclude any interest, yield or discount, as applicable, paid or payable by any Securitization SPE in respect of Attributable Securitization Indebtedness to the extent such Attributable Securitization Indebtedness is not recourse to the Company or any Restricted Subsidiary (other than a Securitization SPE) (whether by Guarantee, security or otherwise) other than pursuant to Standard Securitization Undertakings.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with respect to the Company and its Restricted Subsidiaries on a consolidated basis in accordance with GAAP for any period, the consolidated net income (or loss) of the Company and its Restricted Subsidiaries for such period, excluding:</w:t>
      </w:r>
    </w:p>
    <w:p>
      <w:pPr>
        <w:spacing w:after="0" w:line="140" w:lineRule="exact"/>
        <w:rPr>
          <w:sz w:val="20"/>
          <w:szCs w:val="20"/>
          <w:color w:val="auto"/>
        </w:rPr>
      </w:pPr>
    </w:p>
    <w:p>
      <w:pPr>
        <w:ind w:firstLine="656"/>
        <w:spacing w:after="0" w:line="236"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income (or deficit) of any Person accrued prior to the date it becomes a Restricted Subsidiary or is merged into or consolidated with the Company or any Restricted Subsidiary;</w:t>
      </w:r>
    </w:p>
    <w:p>
      <w:pPr>
        <w:spacing w:after="0" w:line="150"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income (or deficit) of any Unrestricted Subsidiary, Securitization SPE or any other Person (other than a Restricted Subsidiary) in which the Company or any Restricted Subsidiary has an ownership interest, except to the extent that any such income is actually received by the Company or any Restricted Subsidiary in the form of dividends or similar distributions;</w:t>
      </w:r>
    </w:p>
    <w:p>
      <w:pPr>
        <w:spacing w:after="0" w:line="151"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undistributed earnings of any Restricted Subsidiary (other than a Loan Party or a Securitization SPE),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gains or losses in respect of any hedge arrangements and/or derivative instrument;</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unrealized or realized net foreign currency translation or transaction gains or losses impacting net income (including, without limitation, currency re-measurements of indebtedness or other balance sheet items, any gains or losses from hedging agreements for currency exchange risk associated with the foregoing or any other currency related risk and any gain or loss resulting from revaluation of intercompany balances (including indebtedness and other balance sheet items) and any net gains or losses from hedge agreements for currency exchange risk associated with the above or any other currency-related risk);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09" w:name="page110"/>
    <w:bookmarkEnd w:id="109"/>
    <w:p>
      <w:pPr>
        <w:jc w:val="both"/>
        <w:ind w:firstLine="656"/>
        <w:spacing w:after="0" w:line="211"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effects of adjustments (including, without limitation, the effects of such adjustments pushed down to such Person and its Restricted Subsidiaries) in the Company’s consolidated financial statements pursuant to or resulting from the application of acquisition method, purchase and/or recapitalization accounting in relation to any consummated Permitted Acquisition or similar transaction or recapitalization accounting or the amortization or write-off of any amounts thereof including adjustments in component amounts required or permitted by GAAP (including, without limitation, in the inventory, property and equipment, software, goodwill, intangible assets, in-process research and development, deferred revenue, advanced billing and debt line items thereof) and (ii) the cumulative effect of a change in accounting principles (effected by way of either a cumulative adjustment or retroactive application) and/or any change resulting from the adoption of modification of accounting principles and/or policies in accordance with GAAP.</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Indebtedness</w:t>
      </w:r>
      <w:r>
        <w:rPr>
          <w:rFonts w:ascii="Times New Roman" w:cs="Times New Roman" w:eastAsia="Times New Roman" w:hAnsi="Times New Roman"/>
          <w:sz w:val="22"/>
          <w:szCs w:val="22"/>
          <w:color w:val="auto"/>
        </w:rPr>
        <w:t xml:space="preserve">” means, at any time, the difference of (a) the Indebtedness of the type described in clauses (a), (b), (e) (solely to the extent arising from Guaranty Obligations incurred in reliance on </w:t>
      </w:r>
      <w:r>
        <w:rPr>
          <w:rFonts w:ascii="Times New Roman" w:cs="Times New Roman" w:eastAsia="Times New Roman" w:hAnsi="Times New Roman"/>
          <w:sz w:val="22"/>
          <w:szCs w:val="22"/>
          <w:u w:val="single" w:color="auto"/>
          <w:color w:val="auto"/>
        </w:rPr>
        <w:t>Section 6.04(gg)</w:t>
      </w:r>
      <w:r>
        <w:rPr>
          <w:rFonts w:ascii="Times New Roman" w:cs="Times New Roman" w:eastAsia="Times New Roman" w:hAnsi="Times New Roman"/>
          <w:sz w:val="22"/>
          <w:szCs w:val="22"/>
          <w:color w:val="auto"/>
        </w:rPr>
        <w:t xml:space="preserve">), (f), (g) (solely to the extent not reimbursed within three (3) Business Days of any drawing or funding thereunder), (h), (l) and (q) (excluding Attributable Securitization Indebtedness that is not recourse to the Company or any Restricted Subsidiary (other than a Securitization SPE) (whether by Guarantee, security or otherwise) other than pursuant to Standard Securitization Undertakings) of the definition of Indebtedness, all as determined for the Company and its Restricted Subsidiaries on a consolidated basis in accordance with GAAP,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lesser of (i) the aggregate amount of all Unrestricted Cash at such time in excess of $5,000,000 and (ii) $75,000,000.</w:t>
      </w:r>
    </w:p>
    <w:p>
      <w:pPr>
        <w:spacing w:after="0" w:line="195"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Consumer Price Index</w:t>
      </w:r>
      <w:r>
        <w:rPr>
          <w:rFonts w:ascii="Times New Roman" w:cs="Times New Roman" w:eastAsia="Times New Roman" w:hAnsi="Times New Roman"/>
          <w:sz w:val="22"/>
          <w:szCs w:val="22"/>
          <w:color w:val="auto"/>
        </w:rPr>
        <w:t>” means the consumer price index with respect to all urban consumers within U.S. cities for all items but without seasonal adjustment, as determined and publicized by the Bureau of Labor Statistics of the United States Department of Labor (with such consumer price index bearing the label “CPI-U, US City Average, All Items: NSA” as of the Effective Date).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1940" w:hanging="636"/>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47.3(b); 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10" w:name="page111"/>
    <w:bookmarkEnd w:id="110"/>
    <w:p>
      <w:pPr>
        <w:ind w:left="660" w:right="740" w:firstLine="644"/>
        <w:spacing w:after="0" w:line="441" w:lineRule="auto"/>
        <w:tabs>
          <w:tab w:leader="none" w:pos="19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382.2(b).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9.19</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CRD IV</w:t>
      </w:r>
      <w:r>
        <w:rPr>
          <w:rFonts w:ascii="Times New Roman" w:cs="Times New Roman" w:eastAsia="Times New Roman" w:hAnsi="Times New Roman"/>
          <w:sz w:val="22"/>
          <w:szCs w:val="22"/>
          <w:color w:val="auto"/>
        </w:rPr>
        <w:t>” means Directive 2013/36/EU of 26 June 2013 on access to the activity of credit institutions and the prudential supervision of credit institutions and investment firms, amending Directive 2002/87/EC and repealing Directive 2006/48/EC and 2006/49/EC, as it forms part of the domestic law of the United Kingdom by virtue of the European Union (Withdrawal) Act 2018 (as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Administrative Agent, the Issuing Bank, the Swingline Lender or any other Lender.</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CRR</w:t>
      </w:r>
      <w:r>
        <w:rPr>
          <w:rFonts w:ascii="Times New Roman" w:cs="Times New Roman" w:eastAsia="Times New Roman" w:hAnsi="Times New Roman"/>
          <w:sz w:val="22"/>
          <w:szCs w:val="22"/>
          <w:color w:val="auto"/>
        </w:rPr>
        <w:t>” means Regulation (EU) no. 575/2013 of 26 June 2013 on prudential requirements for credit institutions and investment firms and amending regulation (EU) No. 648/2012, as it forms part of the domestic law of the United Kingdom by virtue of the European Union (Withdrawal) Act 2018 (as amended).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RFR</w:t>
      </w:r>
      <w:r>
        <w:rPr>
          <w:rFonts w:ascii="Times New Roman" w:cs="Times New Roman" w:eastAsia="Times New Roman" w:hAnsi="Times New Roman"/>
          <w:sz w:val="22"/>
          <w:szCs w:val="22"/>
          <w:color w:val="auto"/>
        </w:rPr>
        <w:t>” means, for any day (an “</w:t>
      </w:r>
      <w:r>
        <w:rPr>
          <w:rFonts w:ascii="Times New Roman" w:cs="Times New Roman" w:eastAsia="Times New Roman" w:hAnsi="Times New Roman"/>
          <w:sz w:val="22"/>
          <w:szCs w:val="22"/>
          <w:u w:val="single" w:color="auto"/>
          <w:color w:val="auto"/>
        </w:rPr>
        <w:t>RFR Interest Day</w:t>
      </w:r>
      <w:r>
        <w:rPr>
          <w:rFonts w:ascii="Times New Roman" w:cs="Times New Roman" w:eastAsia="Times New Roman" w:hAnsi="Times New Roman"/>
          <w:sz w:val="22"/>
          <w:szCs w:val="22"/>
          <w:color w:val="auto"/>
        </w:rPr>
        <w:t xml:space="preserve">”),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and (ii) Dollars, Daily Simple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if the Daily Simple RFR as so determined would be less than the Floor, such rate shall be deemed to be equal to the Floor for the purposes of this Agreement.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SOFR for the day (such day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xml:space="preserv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if the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Borrowers.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11" w:name="page112"/>
    <w:bookmarkEnd w:id="111"/>
    <w:p>
      <w:pPr>
        <w:spacing w:after="0" w:line="271" w:lineRule="auto"/>
        <w:rPr>
          <w:sz w:val="20"/>
          <w:szCs w:val="20"/>
          <w:color w:val="auto"/>
        </w:rPr>
      </w:pPr>
      <w:r>
        <w:rPr>
          <w:rFonts w:ascii="Times New Roman" w:cs="Times New Roman" w:eastAsia="Times New Roman" w:hAnsi="Times New Roman"/>
          <w:sz w:val="22"/>
          <w:szCs w:val="22"/>
          <w:color w:val="auto"/>
        </w:rPr>
        <w:t>then SOFR for such SOFR Determination Date will be SOFR as published in respect of the first preceding U.S. Government Securities Business Day for which such SOFR was published on the SOFR Administrator’s Website.</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waived or remedied during such time, become an Event of Default.</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any Lender that (a) has failed, within two (2) Business Days of the date required to be funded or paid, to (i) fund any portion of its Loans, (ii) fund any portion of its participations in Letters of Credit or Swingline Loans or</w:t>
      </w:r>
    </w:p>
    <w:p>
      <w:pPr>
        <w:spacing w:after="0" w:line="2" w:lineRule="exact"/>
        <w:rPr>
          <w:sz w:val="20"/>
          <w:szCs w:val="20"/>
          <w:color w:val="auto"/>
        </w:rPr>
      </w:pPr>
    </w:p>
    <w:p>
      <w:pPr>
        <w:jc w:val="both"/>
        <w:ind w:firstLine="8"/>
        <w:spacing w:after="0" w:line="257" w:lineRule="auto"/>
        <w:tabs>
          <w:tab w:leader="none" w:pos="40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 over to any Credit Party any other amount required to be paid by it hereunder, (b) has notified any Borrower or any Credit Party in writing, or has made a public statement to the effect, that it does not intend or expect to comply with any of its funding obligations under this Agreement or generally under other agreements in which it commits to extend credit, (c) has failed, within three (3) Business Days after request by a Credit Party, or any Borrower,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such Credit Party’s or such Borrower’s receipt of such certification in form and substance satisfactory to it and the Administrative Agent or (d)(i) has become or has a parent company that has become the subject of a Bankruptcy Event or</w:t>
      </w:r>
    </w:p>
    <w:p>
      <w:pPr>
        <w:spacing w:after="0" w:line="6"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become the subject of a Bail-In Action.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Disclosed Matters</w:t>
      </w:r>
      <w:r>
        <w:rPr>
          <w:rFonts w:ascii="Times New Roman" w:cs="Times New Roman" w:eastAsia="Times New Roman" w:hAnsi="Times New Roman"/>
          <w:sz w:val="21"/>
          <w:szCs w:val="21"/>
          <w:color w:val="auto"/>
        </w:rPr>
        <w:t xml:space="preserve">” means the actions, suits and proceedings and the environmental matters disclosed in </w:t>
      </w:r>
      <w:r>
        <w:rPr>
          <w:rFonts w:ascii="Times New Roman" w:cs="Times New Roman" w:eastAsia="Times New Roman" w:hAnsi="Times New Roman"/>
          <w:sz w:val="21"/>
          <w:szCs w:val="21"/>
          <w:u w:val="single" w:color="auto"/>
          <w:color w:val="auto"/>
        </w:rPr>
        <w:t>Schedule 3.06</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(other than issuances of Qualified Equity Interests to the Company or any Restricted Subsidiary of the Company)), including any sale, assignment, transfer or other disposal, with or without recourse, of any notes or accounts receivable or any rights and claims associated therewith.</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Interests</w:t>
      </w:r>
      <w:r>
        <w:rPr>
          <w:rFonts w:ascii="Times New Roman" w:cs="Times New Roman" w:eastAsia="Times New Roman" w:hAnsi="Times New Roman"/>
          <w:sz w:val="22"/>
          <w:szCs w:val="22"/>
          <w:color w:val="auto"/>
        </w:rPr>
        <w:t>” means any Equity Interest that, by its terms (or by the terms of any security into which it is convertible or for which it is exchangeable), or upon the happening of any event, matures or is mandatorily redeemable (other than for Qualified Equity Interests and cash in lieu of fractional shares of such Equity Interests), pursuant to a sinking fund obligation or otherwise, or redeemable at the option of the holder thereof, in whole or in part (other than for Qualified Equity Interests and cash in lieu of fractional shares of such Equity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2" w:name="page113"/>
    <w:bookmarkEnd w:id="11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Interests), in each case, prior to the date that is ninety-one (91) days after the latest Maturity Date in effect at the time of issuance of such Equity Interest, unless, in each case, such term, event or condition is subject to the Payment in Full of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shall not apply to (i) a redemption, conversion or exchange into equity interests that do not themselves constitute Disqualified Equity Interests, (ii) any offer to redeem or repurchase required to be made in connection with a change of control, initial public offering, Disposition, Fundamental Transaction or similar event or (iii) compensatory equity awards to directors, managers, officers and employees in which shares are withheld (redeemed) upon vesting or exercise to pay applicable withholding taxes or, in the case of an option, the exercise price of the option. Notwithstanding the foregoing, Disqualified Equity Interests shall not include surplus notes reported as surplus in the statutory financial statements filed by the Company or any Insurance Subsidiary in its jurisdiction of domicile.</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Lender</w:t>
      </w:r>
      <w:r>
        <w:rPr>
          <w:rFonts w:ascii="Times New Roman" w:cs="Times New Roman" w:eastAsia="Times New Roman" w:hAnsi="Times New Roman"/>
          <w:sz w:val="21"/>
          <w:szCs w:val="21"/>
          <w:color w:val="auto"/>
        </w:rPr>
        <w:t xml:space="preserve">” means (a) Persons, including those that are reasonably determined by the Company to be competitors of the Company or its subsidiaries, which are specifically identified by the Company to the Administrative Agent in writing and delivered in accordance with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prior to the Effective Date, (b) any other Person that is reasonably determined by the Company to be a competitor of the Company or its subsidiaries and which is specifically identified in a written supplement to the list of “Disqualified Lenders”, which supplement shall become effective two (2) Business Days after delivery thereof to the Administrative Agent in accordance with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and (c) in the case of the foregoing clauses (a) and (b), any of such entities’ Affiliates to the extent such Affiliates (w) are identified in writing from time to time by the Company, (x) are reasonably identifiable as Affiliates of such Persons based solely on the similarity of such Affiliates’ and such Persons’ names,</w:t>
      </w:r>
    </w:p>
    <w:p>
      <w:pPr>
        <w:spacing w:after="0" w:line="5" w:lineRule="exact"/>
        <w:rPr>
          <w:sz w:val="20"/>
          <w:szCs w:val="20"/>
          <w:color w:val="auto"/>
        </w:rPr>
      </w:pPr>
    </w:p>
    <w:p>
      <w:pPr>
        <w:jc w:val="both"/>
        <w:ind w:firstLine="8"/>
        <w:spacing w:after="0" w:line="258" w:lineRule="auto"/>
        <w:tabs>
          <w:tab w:leader="none" w:pos="31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are known to be an Affiliate of such Person, or (z) solely in the case of Affiliates with respect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are not bona fide debt investment funds. It is understood and agreed that (i) any supplement to the list of Persons that are Disqualified Lenders contemplated by the foregoing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not apply retroactively to disqualify any Persons that have previously acquired an assignment or participation interest in the Commitments or Loans (but solely with respect to such Commitments or Loans),</w:t>
      </w:r>
    </w:p>
    <w:p>
      <w:pPr>
        <w:spacing w:after="0" w:line="1" w:lineRule="exact"/>
        <w:rPr>
          <w:rFonts w:ascii="Times New Roman" w:cs="Times New Roman" w:eastAsia="Times New Roman" w:hAnsi="Times New Roman"/>
          <w:sz w:val="21"/>
          <w:szCs w:val="21"/>
          <w:color w:val="auto"/>
        </w:rPr>
      </w:pPr>
    </w:p>
    <w:p>
      <w:pPr>
        <w:jc w:val="both"/>
        <w:ind w:firstLine="8"/>
        <w:spacing w:after="0" w:line="249" w:lineRule="auto"/>
        <w:tabs>
          <w:tab w:leader="none" w:pos="3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no responsibility or liability to determine or monitor whether any Lender or potential Lender is a Disqualified Lender and (iii) “Disqualified Lender” shall exclude any Person that the Company has designated as no longer being a “Disqualified Lender” by written notice delivered to the Administrative Agent from time to time in accordance with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has the meaning assigned to such term in the definition of “Division.”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means the division of the assets, liabilities and/or obligations of a Person (the “</w:t>
      </w:r>
      <w:r>
        <w:rPr>
          <w:rFonts w:ascii="Times New Roman" w:cs="Times New Roman" w:eastAsia="Times New Roman" w:hAnsi="Times New Roman"/>
          <w:sz w:val="22"/>
          <w:szCs w:val="22"/>
          <w:u w:val="single" w:color="auto"/>
          <w:color w:val="auto"/>
        </w:rPr>
        <w:t>Dividing Person</w:t>
      </w:r>
      <w:r>
        <w:rPr>
          <w:rFonts w:ascii="Times New Roman" w:cs="Times New Roman" w:eastAsia="Times New Roman" w:hAnsi="Times New Roman"/>
          <w:sz w:val="22"/>
          <w:szCs w:val="22"/>
          <w:color w:val="auto"/>
        </w:rPr>
        <w:t>”) among two or more Persons (whether pursuant to a “plan of division” or similar arrangement), which may or may not include the Dividing Person and pursuant to which the Dividing Person may or may not survive.</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 Successor</w:t>
      </w:r>
      <w:r>
        <w:rPr>
          <w:rFonts w:ascii="Times New Roman" w:cs="Times New Roman" w:eastAsia="Times New Roman" w:hAnsi="Times New Roman"/>
          <w:sz w:val="22"/>
          <w:szCs w:val="22"/>
          <w:color w:val="auto"/>
        </w:rPr>
        <w:t>” means any Person that, upon the consummation of a Division of a Dividing Person, holds all or any portion of the assets, liabilities and/or obligations previously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22"/>
          <w:szCs w:val="22"/>
          <w:color w:val="auto"/>
        </w:rPr>
        <w:t>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 Equivalent</w:t>
      </w:r>
      <w:r>
        <w:rPr>
          <w:rFonts w:ascii="Times New Roman" w:cs="Times New Roman" w:eastAsia="Times New Roman" w:hAnsi="Times New Roman"/>
          <w:sz w:val="21"/>
          <w:szCs w:val="21"/>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Issuing Bank, as the case may be) by Reuters on the Business Day (New York City time) immediately preceding the date of determination or if such service ceases to be available or ceases to provide a rate of exchange for the purchase of dollars with such Alternative Currency, as provided by such other publicly available information service which provides that rate of exchange at such time in place of Reuters chosen by the Administrative Agent or the Issuing Bank, as the case may be, in its sole discretion (or if such service ceases to be available or ceases to provide such rate of exchange, the equivalent of such amount in dollars as determined by the Administrative Agent or the Issuing Bank, as the case may be, using any method of determination it deems appropriate in its sole discretion) and (c) if such amount is denominated in any other currency, the equivalent of such amount in dollars as determined by the Administrative Agent or the Issuing Bank, as the case may be, using any method of determination it deems appropriate in its sole discretion.</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Restricted Subsidiary that is not a Foreign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9.04(e)(iv)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ECP</w:t>
      </w:r>
      <w:r>
        <w:rPr>
          <w:rFonts w:ascii="Times New Roman" w:cs="Times New Roman" w:eastAsia="Times New Roman" w:hAnsi="Times New Roman"/>
          <w:sz w:val="22"/>
          <w:szCs w:val="22"/>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which is a subsidiary of an institution described in clauses (a) or (b)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March 7, 2025.</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4" w:name="page115"/>
    <w:bookmarkEnd w:id="114"/>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Yield</w:t>
      </w:r>
      <w:r>
        <w:rPr>
          <w:rFonts w:ascii="Times New Roman" w:cs="Times New Roman" w:eastAsia="Times New Roman" w:hAnsi="Times New Roman"/>
          <w:sz w:val="22"/>
          <w:szCs w:val="22"/>
          <w:color w:val="auto"/>
        </w:rPr>
        <w:t>” means, as to any Indebtedness, the effective yield on such Indebtedness consistent with generally accepted financial practices, taking into account the applicable interest rate margins, any interest rate floors, all up-front fees or original issue discount (provided that original issue discount and upfront fees shall be amortized over the shorter of (1) the remaining Weighted Average Life to Maturity of such Indebtedness and (2) the four years following the date of incurrence thereof) payable generally to Lenders or other institutions providing such Indebtedness, but excluding any arrangement, underwriting, structuring, unused line, consent, amendment, ticking and commitment fees.</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Assignee</w:t>
      </w:r>
      <w:r>
        <w:rPr>
          <w:rFonts w:ascii="Times New Roman" w:cs="Times New Roman" w:eastAsia="Times New Roman" w:hAnsi="Times New Roman"/>
          <w:sz w:val="21"/>
          <w:szCs w:val="21"/>
          <w:color w:val="auto"/>
        </w:rPr>
        <w:t xml:space="preserve">” means any Person that meets the requirements to be an assignee or participant under </w:t>
      </w:r>
      <w:r>
        <w:rPr>
          <w:rFonts w:ascii="Times New Roman" w:cs="Times New Roman" w:eastAsia="Times New Roman" w:hAnsi="Times New Roman"/>
          <w:sz w:val="21"/>
          <w:szCs w:val="21"/>
          <w:u w:val="single" w:color="auto"/>
          <w:color w:val="auto"/>
        </w:rPr>
        <w:t>Section 9.04(b)</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or the management, release or threatened release of any Hazardous Material or to health and safety matters.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Company or any 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Company, is treated as a single employer under Section 414(b) or (c) of the Code or Section 4001(14) of ERISA or, solely for purposes of Section 302 of ERISA and Section 412 of the Code, is treated as a single employer under Section 414 of the Code.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5" w:name="page116"/>
    <w:bookmarkEnd w:id="115"/>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 or (h) with respect to any Foreign Plan, (i) the failure to make or, if applicable, accrue in accordance with normal accounting practices, any employer or employee contributions required by applicable law or by the terms of such Foreign Plan (or such terms as otherwise may be agreed with any trustee of a Foreign Plan from time to time), (ii) the failure to register or loss of good standing with applicable regulatory authorities of any such Foreign Plan required to be registered; or (iii) the failure of any Foreign Plan to comply with any material provisions of applicable law and regulations or the failure of the Company and its Subsidiaries to comply with the material terms of such Foreign Plan (or such terms as otherwise may be agreed with any trustee of a Foreign Plan from time to time)</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Securitization Regulation</w:t>
      </w:r>
      <w:r>
        <w:rPr>
          <w:rFonts w:ascii="Times New Roman" w:cs="Times New Roman" w:eastAsia="Times New Roman" w:hAnsi="Times New Roman"/>
          <w:sz w:val="22"/>
          <w:szCs w:val="22"/>
          <w:color w:val="auto"/>
        </w:rPr>
        <w:t>” shall mean European Union legislation comprising EU Regulation (EU) 2017/2402, any related regulatory technical standards and any implementing or supplementary national law applicable in a relevant EU member state.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 Rate</w:t>
      </w:r>
      <w:r>
        <w:rPr>
          <w:rFonts w:ascii="Times New Roman" w:cs="Times New Roman" w:eastAsia="Times New Roman" w:hAnsi="Times New Roman"/>
          <w:sz w:val="22"/>
          <w:szCs w:val="22"/>
          <w:color w:val="auto"/>
        </w:rPr>
        <w:t>” means, with respect to any Term Benchmark Borrowing denominated in Euros and for any Interest Period, the EURIBOR Screen Rate at approximately 11:00 a.m., Brussels time, two TARGET Days prior to the commencement of such Interest Period.</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 Screen Rate</w:t>
      </w:r>
      <w:r>
        <w:rPr>
          <w:rFonts w:ascii="Times New Roman" w:cs="Times New Roman" w:eastAsia="Times New Roman" w:hAnsi="Times New Roman"/>
          <w:sz w:val="22"/>
          <w:szCs w:val="22"/>
          <w:color w:val="auto"/>
        </w:rPr>
        <w:t>” means, for any day and time, with respect to any Term Benchmark Borrowing denominated in Euros and for any Interest Period, the annual rate of interest equal to the euro interbank offered rate administered by the European Money Markets Institute (or any other Person which takes over the administration of that rate) for the relevant Interest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selected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6" w:name="page117"/>
    <w:bookmarkEnd w:id="116"/>
    <w:p>
      <w:pPr>
        <w:spacing w:after="0" w:line="271" w:lineRule="auto"/>
        <w:rPr>
          <w:sz w:val="20"/>
          <w:szCs w:val="20"/>
          <w:color w:val="auto"/>
        </w:rPr>
      </w:pPr>
      <w:r>
        <w:rPr>
          <w:rFonts w:ascii="Times New Roman" w:cs="Times New Roman" w:eastAsia="Times New Roman" w:hAnsi="Times New Roman"/>
          <w:sz w:val="22"/>
          <w:szCs w:val="22"/>
          <w:color w:val="auto"/>
        </w:rPr>
        <w:t>If such page or service ceases to be available, the Administrative Agent may specify another page or service displaying the relevant rate after consultation with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single currency of the Participating Member States.</w:t>
      </w:r>
    </w:p>
    <w:p>
      <w:pPr>
        <w:spacing w:after="0" w:line="233" w:lineRule="exact"/>
        <w:rPr>
          <w:sz w:val="20"/>
          <w:szCs w:val="20"/>
          <w:color w:val="auto"/>
        </w:rPr>
      </w:pPr>
    </w:p>
    <w:p>
      <w:pPr>
        <w:ind w:left="660" w:right="4300"/>
        <w:spacing w:after="0" w:line="4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assigned to such term in Article VII.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w:t>
      </w:r>
    </w:p>
    <w:p>
      <w:pPr>
        <w:spacing w:after="0" w:line="1" w:lineRule="exact"/>
        <w:rPr>
          <w:sz w:val="20"/>
          <w:szCs w:val="20"/>
          <w:color w:val="auto"/>
        </w:rPr>
      </w:pPr>
    </w:p>
    <w:p>
      <w:pPr>
        <w:ind w:left="1300" w:hanging="644"/>
        <w:spacing w:after="0"/>
        <w:tabs>
          <w:tab w:leader="none" w:pos="130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Subsidiary that (i) is a Domestic Subsidiary but not a Wholly-Owned Subsidiary of the Company or</w:t>
      </w:r>
    </w:p>
    <w:p>
      <w:pPr>
        <w:ind w:left="320" w:hanging="312"/>
        <w:spacing w:after="0"/>
        <w:tabs>
          <w:tab w:leader="none" w:pos="3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Foreign Subsidiary;</w:t>
      </w:r>
    </w:p>
    <w:p>
      <w:pPr>
        <w:spacing w:after="0" w:line="155"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CFC Holdco and (ii) any Domestic Subsidiary of an Excluded Subsidiary of the type described in the foregoing clause (a)(ii) or clause (b)(i), in the case of each of the foregoing clauses (b)(i) and (b)(ii), unless making such entity a Loan Party would not reasonably be expected to cause a material adverse tax consequence, as determined in the reasonable discretion of the Company in consultation with the Administrative Agent;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Immaterial Subsidiary;</w:t>
      </w:r>
    </w:p>
    <w:p>
      <w:pPr>
        <w:spacing w:after="0" w:line="179"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that is prohibited by any Requirement of Law or by any contractual obligation (with respect to any such contractual obligations, only to the extent existing on the Effective Date or the date the applicable Person becomes a direct or indirect Wholly-Owned Subsidiary of a Loan Party and was not entered into in contemplation of this provision) from guaranteeing the Obligations or which would require governmental (including regulatory) consent, approval, license or authorization (including under any financial assistance, corporate benefit, thin capitalization, capital maintenance, liquidity maintenance or similar legal principles) to provide a Guarantee (unless such consent, approval, license or authorization has been received; it being understood and agreed that there will be no obligation to request, seek or obtain any such consent, approval, license or authorization);</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that is (or, if it were a Loan Party, would be) an “investment company” under the Investment Company Act of 1940, as amended;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not-for-profit Restricted Subsidiary;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Insurance Subsidiary and any Insurance Subsidiary Holding Company;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Unrestricted Subsidiary;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Securitization SPE; and</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8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where the cost or burden (including adverse tax consequences (other than de minimis tax consequences)) of granting a Guarantee of the Obligations outweighs the benefit to the Lenders, as reasonably determined by the Administrative Agent in consultation with the Company;</w:t>
      </w:r>
    </w:p>
    <w:p>
      <w:pPr>
        <w:spacing w:after="0" w:line="1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Company may, at its option, appoint any Person that otherwise would be an “Excluded Subsidiary” pursuant to clauses (a) through (j)</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above as a Guarantor;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any such Subsidiary that becomes a Guarantor pursuant to the immediately foregoing proviso may not subsequently become an Excluded Subsidiary other than as a result of clause (a) (solely to the extent that such Subsidiary was a Foreign Subsidiary Borrower and the Company delivers a Foreign Subsidiary Borrower Termination to the Administrative Agent pursuant to Section 2.22(b) with respect to such Subsidiary), (b)(ii), (c), (e) or (h) above.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Notwithstanding the foregoing, no Subsidiary shall constitute an Excluded Subsidiary if (either at the time of designation or thereafter) such Subsidiary (a) Guarantees or otherwise provides Material Credit Support for any Material Indebtedness, Incremental Equivalent Debt, Ratio Debt or Subordinated Debt of the Company or any Subsidiary or for any Indebtedness of an Unrestricted Subsidiary, in each case, except to the extent such Guarantee is a Standard Securitization Undertaking or (b) is a Foreign Subsidiary Borrower or a direct or indirect parent of a Foreign Subsidiary Borrower.</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and United Kingdom withholding Taxes (excluding (x) the portion of United Kingdom withholding Taxes with respect to which the applicable Lender is entitled to claim a reduction under an income tax treaty (subject to the completion of procedural formalities) and (y) United Kingdom withholding Taxes on payments made by any guarantor under any guarantee of the obligations)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amounts with respect to such Taxes were payable either to such Lender’s assignor immediately before such Lender acquired the applicable interest in a Loan, Letter of Credit or Commitment or to such</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color w:val="auto"/>
        </w:rPr>
        <w:t>, and (d) any withholding Taxes imposed under FATCA.</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Amended and Restated Credit Agreement, dated as of December 12, 2018, by and among the Company, the Foreign Subsidiary Borrowers party thereto from time to time, the lenders party thereto from time to time, and JPMorgan Chase Bank, N.A., as amended, amended and restated, supplemented or otherwise modified from time to time.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 of Credit</w:t>
      </w:r>
      <w:r>
        <w:rPr>
          <w:rFonts w:ascii="Times New Roman" w:cs="Times New Roman" w:eastAsia="Times New Roman" w:hAnsi="Times New Roman"/>
          <w:sz w:val="22"/>
          <w:szCs w:val="22"/>
          <w:color w:val="auto"/>
        </w:rPr>
        <w:t>” means each letter of credit issued for the account of any Borrower that is outstanding on the Effective Date and is listed on Annex III.</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Revolving Credit Commitments</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Revolving Credit Loans</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 Loans</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means the establishment of an Extension Series by amending a Loan or a Commitment pursuant to Section 2.23 and the applicable Extension Amendment.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Date</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Election</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Minimum Condition</w:t>
      </w:r>
      <w:r>
        <w:rPr>
          <w:rFonts w:ascii="Times New Roman" w:cs="Times New Roman" w:eastAsia="Times New Roman" w:hAnsi="Times New Roman"/>
          <w:sz w:val="22"/>
          <w:szCs w:val="22"/>
          <w:color w:val="auto"/>
        </w:rPr>
        <w:t>” means, with respect to any Extended Term Loans, a condition to consummating any such Extension that a minimum amount (to be determined and specified in the relevant Extension Request, in the Company’s sole discretion) of any or all applicable classes of Term Loans be submitted for Extension.</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Request</w:t>
      </w:r>
      <w:r>
        <w:rPr>
          <w:rFonts w:ascii="Times New Roman" w:cs="Times New Roman" w:eastAsia="Times New Roman" w:hAnsi="Times New Roman"/>
          <w:sz w:val="22"/>
          <w:szCs w:val="22"/>
          <w:color w:val="auto"/>
        </w:rPr>
        <w:t>” means a Term Loan Extension Request or a Revolving Credit Loan Extension Request, as the context requires.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Series</w:t>
      </w:r>
      <w:r>
        <w:rPr>
          <w:rFonts w:ascii="Times New Roman" w:cs="Times New Roman" w:eastAsia="Times New Roman" w:hAnsi="Times New Roman"/>
          <w:sz w:val="22"/>
          <w:szCs w:val="22"/>
          <w:color w:val="auto"/>
        </w:rPr>
        <w:t>” means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Effective Rate as so determined would be less than zero, such rate shall be deemed to be zero for the purposes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Act</w:t>
      </w:r>
      <w:r>
        <w:rPr>
          <w:rFonts w:ascii="Times New Roman" w:cs="Times New Roman" w:eastAsia="Times New Roman" w:hAnsi="Times New Roman"/>
          <w:sz w:val="22"/>
          <w:szCs w:val="22"/>
          <w:color w:val="auto"/>
        </w:rPr>
        <w:t>” means the Federal Reserve Act (12 U.S.C. § 371c), as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of the U.S.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the chief executive officer, chief financial officer, principal accounting officer, treasurer, controller or other equivalent financial officer of the Company or the applicable Borrower, as the case may be.</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each of the quarterly accounting periods of the Company, ending on March 31, June 30, September 30 and December 31 of each year.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each annual accounting period of the Company ending on December 31 of each year.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means, the ratio, as determined as of the end of each Fiscal Quarter of the Company, of</w:t>
      </w:r>
    </w:p>
    <w:p>
      <w:pPr>
        <w:spacing w:after="0" w:line="28" w:lineRule="exact"/>
        <w:rPr>
          <w:sz w:val="20"/>
          <w:szCs w:val="20"/>
          <w:color w:val="auto"/>
        </w:rPr>
      </w:pPr>
    </w:p>
    <w:p>
      <w:pPr>
        <w:ind w:right="20" w:firstLine="8"/>
        <w:spacing w:after="0" w:line="285" w:lineRule="auto"/>
        <w:tabs>
          <w:tab w:leader="none" w:pos="30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Consolidated EBITDA </w:t>
      </w:r>
      <w:r>
        <w:rPr>
          <w:rFonts w:ascii="Times New Roman" w:cs="Times New Roman" w:eastAsia="Times New Roman" w:hAnsi="Times New Roman"/>
          <w:sz w:val="21"/>
          <w:szCs w:val="21"/>
          <w:i w:val="1"/>
          <w:iCs w:val="1"/>
          <w:u w:val="single" w:color="auto"/>
          <w:color w:val="auto"/>
        </w:rPr>
        <w:t>minus</w:t>
      </w:r>
      <w:r>
        <w:rPr>
          <w:rFonts w:ascii="Times New Roman" w:cs="Times New Roman" w:eastAsia="Times New Roman" w:hAnsi="Times New Roman"/>
          <w:sz w:val="21"/>
          <w:szCs w:val="21"/>
          <w:color w:val="auto"/>
        </w:rPr>
        <w:t xml:space="preserve"> Maintenance Capital Expenditures to (b) Fixed Charges, all as calculated for the most recently ended four Fiscal Quarters of the Company and its Restricted Subsidiaries on a consolidated basis in accordance with GAAP.</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Charges</w:t>
      </w:r>
      <w:r>
        <w:rPr>
          <w:rFonts w:ascii="Times New Roman" w:cs="Times New Roman" w:eastAsia="Times New Roman" w:hAnsi="Times New Roman"/>
          <w:sz w:val="22"/>
          <w:szCs w:val="22"/>
          <w:color w:val="auto"/>
        </w:rPr>
        <w:t xml:space="preserve">” means, the sum, as determined as of the end of each Fiscal Quarter of the Company, without duplication, of (a) scheduled principal payments on Indebtedness (other than voluntary or mandatory prepayments of such Indebtedness or payment of such Indebtedness at the maturity thereof), including without limitation Capital Lease Obligation, (b) cash Consolidated Interest Expense, (c) any expense for taxes paid in cash, and (d) cash Restricted Payments under any of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6.06(g)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all as calculated for the most recently ended four Fiscal Quarters of the Company and its Restricted Subsidiaries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Laws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Term SOFR Rate, Adjusted EURIBOR Rate, each Daily Simple RFR or the Central Bank Rate, as applicable. As of the Effective Date, the Floor for each of Term SOFR Rate, Adjusted EURIBOR Rate, each Daily Simple RFR and the Central Bank Rate shall be 0.00% and the Floor with respect to the Alternate Base Rate is 1.00%.</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if a Borrower is a U.S. Person, a Lender that is not a U.S. Person, and (b) if a Borrower is not a U.S. Person, a Lender that is resident or organized under the laws of a jurisdiction other than that in which such Borrower is resident for tax purposes.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 means each employee benefit plan (within the meaning of Section 3(3) of ERISA, whether or not subject to ERISA) that is not subject to United States law and is maintained or contributed to by the Company, a Foreign Subsidiary, or an ERISA Affiliate of the Company.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Restricted Subsidiary that is incorporated, organized or formed under the laws of any jurisdiction other than the U.S., any State thereof or the District of Columbia.</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 Borrower</w:t>
      </w:r>
      <w:r>
        <w:rPr>
          <w:rFonts w:ascii="Times New Roman" w:cs="Times New Roman" w:eastAsia="Times New Roman" w:hAnsi="Times New Roman"/>
          <w:sz w:val="22"/>
          <w:szCs w:val="22"/>
          <w:color w:val="auto"/>
        </w:rPr>
        <w:t>” means each Foreign Subsidiary that has been designated as a Foreign Subsidiary Borrower by the Company pursuant to Section 2.22, other than a Foreign Subsidiary Borrower that has ceased to be a Foreign Subsidiary Borrower as provided in Section 2.22. As of the Effective Date, the Foreign Subsidiary Borrowers are (a) Hagerty International Holdings Limited, a private limited company organized under the laws of England and Wales, (b) Broad Arrow Group UK Limited, a private limited company organized under the laws of England and Wales, (c) Broad Arrow Capital UK Limited, a private limited company incorporated in England and Wales, and (d) Broad Arrow Capital FP Limited, a private company incorporated in England and Wales.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 Borrower Agreement</w:t>
      </w:r>
      <w:r>
        <w:rPr>
          <w:rFonts w:ascii="Times New Roman" w:cs="Times New Roman" w:eastAsia="Times New Roman" w:hAnsi="Times New Roman"/>
          <w:sz w:val="22"/>
          <w:szCs w:val="22"/>
          <w:color w:val="auto"/>
        </w:rPr>
        <w:t>” means a Foreign Subsidiary Borrower Agreement substantially in the form of Exhibit D.</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 Borrower Termination</w:t>
      </w:r>
      <w:r>
        <w:rPr>
          <w:rFonts w:ascii="Times New Roman" w:cs="Times New Roman" w:eastAsia="Times New Roman" w:hAnsi="Times New Roman"/>
          <w:sz w:val="22"/>
          <w:szCs w:val="22"/>
          <w:color w:val="auto"/>
        </w:rPr>
        <w:t>” means a Foreign Subsidiary Borrower Termination substantially in the form of Exhibit 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means any acquisition by the Company or Hagerty, Inc. with a transaction value of at least $500,000,000 or any equity or debt financing, or series of financings, by the Company, Hagerty, Inc. or their respective Affiliates that raises at least $500,000,000.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1" w:name="page122"/>
    <w:bookmarkEnd w:id="121"/>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for the avoidance of doubt, the Financial Conduct Authority (acting in accordance with Part 6 of the Financial Services and Markets Act 2000 (UK), the Prudential Regulatory Authority and any supra-national bodies such as the European Union, the Council of Ministers of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w:t>
      </w:r>
    </w:p>
    <w:p>
      <w:pPr>
        <w:spacing w:after="0" w:line="3" w:lineRule="exact"/>
        <w:rPr>
          <w:sz w:val="20"/>
          <w:szCs w:val="20"/>
          <w:color w:val="auto"/>
        </w:rPr>
      </w:pPr>
    </w:p>
    <w:p>
      <w:pPr>
        <w:jc w:val="both"/>
        <w:ind w:firstLine="8"/>
        <w:spacing w:after="0" w:line="246" w:lineRule="auto"/>
        <w:tabs>
          <w:tab w:leader="none" w:pos="31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xml:space="preserve">” means the Company and each Restricted Subsidiary that has become a Guarantor pursuant to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but excluding any Excluded Subsidiary (other than an Excluded Subsidiary that the Company appoints as a Guarantor pursuant to the proviso in the definition of “Excluded Subsidiary” and has become a Guarantor pursuant to Section 5.09) and any Restricted Subsidiary that has been released from its Guaranty of the Obligations pursuant to </w:t>
      </w:r>
      <w:r>
        <w:rPr>
          <w:rFonts w:ascii="Times New Roman" w:cs="Times New Roman" w:eastAsia="Times New Roman" w:hAnsi="Times New Roman"/>
          <w:sz w:val="22"/>
          <w:szCs w:val="22"/>
          <w:u w:val="single" w:color="auto"/>
          <w:color w:val="auto"/>
        </w:rPr>
        <w:t>Section 9.26</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that certain Guaranty Agreement (including any and all supplements thereto), dated as of the Effective Date, among the Guarantors and the Administrative Agent, and any other guaranty agreements from any Guarantor as are requested by the Administrative Agent and its counsel.</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Obligations</w:t>
      </w:r>
      <w:r>
        <w:rPr>
          <w:rFonts w:ascii="Times New Roman" w:cs="Times New Roman" w:eastAsia="Times New Roman" w:hAnsi="Times New Roman"/>
          <w:sz w:val="22"/>
          <w:szCs w:val="22"/>
          <w:color w:val="auto"/>
        </w:rPr>
        <w:t>” means, with respect to any Person, without duplication, any obligations of such Person (other than endorsements in the ordinary course of business of negotiable instruments for deposit or collection) guaranteeing or intended to guarantee any Indebtedness of any other Person in any manner, whether direct or indirect, and including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50" w:lineRule="auto"/>
        <w:rPr>
          <w:sz w:val="20"/>
          <w:szCs w:val="20"/>
          <w:color w:val="auto"/>
        </w:rPr>
      </w:pPr>
      <w:r>
        <w:rPr>
          <w:rFonts w:ascii="Times New Roman" w:cs="Times New Roman" w:eastAsia="Times New Roman" w:hAnsi="Times New Roman"/>
          <w:sz w:val="22"/>
          <w:szCs w:val="22"/>
          <w:color w:val="auto"/>
        </w:rPr>
        <w:t>without limitation any obligation, whether or not contingent, (i) to purchase any such Indebtedness or any property constituting security therefor, (ii) to advance or provide funds or other support for the payment or purchase of any such Indebtedness or to maintain working capital, solvency or other balance sheet condition of such other Person (including without limitation keep well agreements, maintenance agreements or similar agreements or arrangements) for the benefit of any holder of Indebtedness of such other Person, (iii) to lease or purchase assets, securities or services primarily for the purpose of assuring the holder of such Indebtedness against loss in respect thereof, or (iv) to otherwise assure or hold harmless the holder of such Indebtedness against loss in respect thereof. The amount of any Guaranty Obligation hereunder shall (subject to any limitations set forth therein) be deemed to be an amount equal to the outstanding principal amount (or maximum principal amount, if larger) of the Indebtedness in respect of which such Guaranty Obligation is made.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Hagerty, Inc.</w:t>
      </w:r>
      <w:r>
        <w:rPr>
          <w:rFonts w:ascii="Times New Roman" w:cs="Times New Roman" w:eastAsia="Times New Roman" w:hAnsi="Times New Roman"/>
          <w:sz w:val="22"/>
          <w:szCs w:val="22"/>
          <w:color w:val="auto"/>
        </w:rPr>
        <w:t>” means Hagerty, Inc., a Delaware corporation.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or a petroleum by-product, asbestos or asbestos-containing material, polychlorinated biphenyls, flammable, explosive, radioactive, freon gas, radon, or a pesticide, herbicide, or any other agricultural chemical.</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HMRC DT Treaty Passport scheme</w:t>
      </w:r>
      <w:r>
        <w:rPr>
          <w:rFonts w:ascii="Times New Roman" w:cs="Times New Roman" w:eastAsia="Times New Roman" w:hAnsi="Times New Roman"/>
          <w:sz w:val="22"/>
          <w:szCs w:val="22"/>
          <w:color w:val="auto"/>
        </w:rPr>
        <w:t>” means the Board of H.M. Revenue and Customs Double Taxation Treaty Passport scheme.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Holdco Entity</w:t>
      </w:r>
      <w:r>
        <w:rPr>
          <w:rFonts w:ascii="Times New Roman" w:cs="Times New Roman" w:eastAsia="Times New Roman" w:hAnsi="Times New Roman"/>
          <w:sz w:val="22"/>
          <w:szCs w:val="22"/>
          <w:color w:val="auto"/>
        </w:rPr>
        <w:t>” means each direct or indirect parent (or co-parent) of the Company.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Holders of Obligations</w:t>
      </w:r>
      <w:r>
        <w:rPr>
          <w:rFonts w:ascii="Times New Roman" w:cs="Times New Roman" w:eastAsia="Times New Roman" w:hAnsi="Times New Roman"/>
          <w:sz w:val="22"/>
          <w:szCs w:val="22"/>
          <w:color w:val="auto"/>
        </w:rPr>
        <w:t>” means (a) the Lenders, (b) the Administrative Agent, (c) each Issuing Bank, (d) each provider of Banking Services Obligations, (e) each Lender and Affiliate of such Lender in respect of Swap Obligations entered into with such Person by the Company or any Restricted Subsidiary, (f) the beneficiaries of each indemnification obligation undertaken by any Loan Party under any Loan Document, and (g) the successors and assigns of each of the foregoing.</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means, as of any date of determination, a Restricted Subsidiary of the Company for which (a) the assets of such Restricted Subsidiary (after giving effect to intercompany eliminations) constitute less than or equal to ten percent (10%) of the total assets of the Company and its Restricted Subsidiaries on a consolidated basis and collectively with all Immaterial Subsidiaries, less than or equal to ten percent (10%) of the total assets of the Company and its Restricted Subsidiaries on a consolidated basis, in each case for this clause (a), determined as of the last day of the Fiscal Quarter or Fiscal Year ended on or most recently prior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63" w:lineRule="auto"/>
        <w:rPr>
          <w:sz w:val="20"/>
          <w:szCs w:val="20"/>
          <w:color w:val="auto"/>
        </w:rPr>
      </w:pPr>
      <w:r>
        <w:rPr>
          <w:rFonts w:ascii="Times New Roman" w:cs="Times New Roman" w:eastAsia="Times New Roman" w:hAnsi="Times New Roman"/>
          <w:sz w:val="21"/>
          <w:szCs w:val="21"/>
          <w:color w:val="auto"/>
        </w:rPr>
        <w:t>to such time for which financial statements have been delivered (or are required to have been delivered) to the Administrative Agent pursuant to Section 5.01(a) or (b), and (b) the revenues of such Restricted Subsidiary (after giving effect to intercompany eliminations) account for less than or equal to ten percent (10%) of the total revenues of the Company and its Restricted Subsidiaries on a consolidated basis and collectively with all Immaterial Subsidiaries, less than or equal to ten percent (10%) of the total revenues of the Company and its Restricted Subsidiaries on a consolidated basis, in each case for this clause (b), for the period of four consecutive Fiscal Quarters ended on or most recently prior to such time for which financial statements have been delivered (or are required to have been delivered) to the Administrative Agent pursuant to Section 5.01(a) or (b).</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Equivalent Debt</w:t>
      </w:r>
      <w:r>
        <w:rPr>
          <w:rFonts w:ascii="Times New Roman" w:cs="Times New Roman" w:eastAsia="Times New Roman" w:hAnsi="Times New Roman"/>
          <w:sz w:val="21"/>
          <w:szCs w:val="21"/>
          <w:color w:val="auto"/>
        </w:rPr>
        <w:t xml:space="preserve">” means unsecured Indebtedness issued, incurred or otherwise obtained by the Company and/or any Restricted Subsidiary in respect of one or more series of unsecured notes (including any unsecured subordinated notes) (in each case in respect of the issuance of notes, whether issued in a public offering, Rule 144A or other private placement or otherwise), or unsecured term loans (including any unsecured subordinated term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656"/>
        <w:spacing w:after="0" w:line="215" w:lineRule="auto"/>
        <w:tabs>
          <w:tab w:leader="none" w:pos="12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(including giving effect on a Pro Forma Basis) to the incurrence of such Incremental Equivalent Debt (and assuming that all such Incremental Equivalent Debt and commitments in respect thereof are fully drawn), (i) the sum of the total of all outstanding Incremental Equivalent Debt, all unused commitments in respect of Incremental Equivalent Debt, all Incremental Revolving Commitments, all unused Incremental Term Loan Commitments and all outstanding Incremental Term Loans does not exceed the Available Incremental Amount and (ii) the Company is in compliance on a Pro Forma Basis with the financial covenants set forth in Section 6.13;</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Incremental Equivalent Debt shall be subject to, and shall satisfy, the Specified Debt Conditions;</w:t>
      </w:r>
    </w:p>
    <w:p>
      <w:pPr>
        <w:spacing w:after="0" w:line="175" w:lineRule="exact"/>
        <w:rPr>
          <w:rFonts w:ascii="Times New Roman" w:cs="Times New Roman" w:eastAsia="Times New Roman" w:hAnsi="Times New Roman"/>
          <w:sz w:val="22"/>
          <w:szCs w:val="22"/>
          <w:color w:val="auto"/>
        </w:rPr>
      </w:pPr>
    </w:p>
    <w:p>
      <w:pPr>
        <w:ind w:firstLine="656"/>
        <w:spacing w:after="0" w:line="238" w:lineRule="auto"/>
        <w:tabs>
          <w:tab w:leader="none" w:pos="12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Incremental Equivalent Debt shall be subject to the MFN Provision,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solely to the extent the MFN Provision would otherwise apply if such Incremental Equivalent Debt were Incremental Term Loans;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Incremental Equivalent Debt may be a revolving facility.</w:t>
      </w:r>
    </w:p>
    <w:p>
      <w:pPr>
        <w:spacing w:after="0" w:line="20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w:t>
      </w:r>
      <w:r>
        <w:rPr>
          <w:rFonts w:ascii="Times New Roman" w:cs="Times New Roman" w:eastAsia="Times New Roman" w:hAnsi="Times New Roman"/>
          <w:sz w:val="22"/>
          <w:szCs w:val="22"/>
          <w:color w:val="auto"/>
        </w:rPr>
        <w:t>” means any Incremental Revolving Commitments or tranche of Incremental Term Loans or Incremental Term Loan Commitments incurred in accordance with Section 2.08(e).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Amendment</w:t>
      </w:r>
      <w:r>
        <w:rPr>
          <w:rFonts w:ascii="Times New Roman" w:cs="Times New Roman" w:eastAsia="Times New Roman" w:hAnsi="Times New Roman"/>
          <w:sz w:val="22"/>
          <w:szCs w:val="22"/>
          <w:color w:val="auto"/>
        </w:rPr>
        <w:t>” has the meaning assigned to such term in Section 2.08(e).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has the meaning assigned to such term in Section 2.08(e).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has the meaning assigned to such term in Section 2.08(e).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 Commitment</w:t>
      </w:r>
      <w:r>
        <w:rPr>
          <w:rFonts w:ascii="Times New Roman" w:cs="Times New Roman" w:eastAsia="Times New Roman" w:hAnsi="Times New Roman"/>
          <w:sz w:val="22"/>
          <w:szCs w:val="22"/>
          <w:color w:val="auto"/>
        </w:rPr>
        <w:t>” has the meaning assigned to such term in Section 2.08(e).</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 with respect to any Person, without duplication, (a) all obligations of such Person for borrowed money, (b) all obligations of such Person evidenced by bonds, debentures, notes or similar instruments, (c) all obligations of such Person in respect of the deferred purchase price of property or services (other than</w:t>
      </w:r>
    </w:p>
    <w:p>
      <w:pPr>
        <w:spacing w:after="0" w:line="1" w:lineRule="exact"/>
        <w:rPr>
          <w:sz w:val="20"/>
          <w:szCs w:val="20"/>
          <w:color w:val="auto"/>
        </w:rPr>
      </w:pPr>
    </w:p>
    <w:p>
      <w:pPr>
        <w:jc w:val="both"/>
        <w:ind w:firstLine="8"/>
        <w:spacing w:after="0" w:line="245" w:lineRule="auto"/>
        <w:tabs>
          <w:tab w:leader="none" w:pos="3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trade payables, accrued expenses, accruals for payroll or similar expenses and accrued expenses of such Person’s business operations (including on an intercompany basis), (2) purchase price holdbacks in respect of the portion of the purchase price of an asset to satisfy warranty or other unperformed obligations of the respective seller or to satisfy any liabilities, (3) any earnout obligation until such obligation becomes a liability on the balance sheet (excluding the footnotes thereto) of such Person in accordance with GAAP, (4) any such obligations under ERISA, (5) prepaid and deferred revenue arising in the ordinary course of business, (6) purchase price and working capital adjustments (other than earn-outs or similar deferred consideration described above in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and (7) customer deposits and prepaid items), (d) all Indebtedness of others secured by any Lien on property owned or acquired by such Person, whether or not the Indebtedness secured thereby has been assumed,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Person has not assumed such Indebtedness, then the amount of Indebtedness of such Person shall be equal to the lesser of the amount of the Indebtedness secured by such assets and the fair market value of the assets of such Person that secure such Indebtedness as reasonably determined by the Company, (e) all Guarantees by such Person of Indebtedness of others, (f) all Capital Lease Obligations of such Person, (g) the maximum face amount of all standby letters of credit issued or bankers’ acceptances facilities created for the account of such Person and, without duplication, all drafts drawn thereunder (to the extent unreimbursed), as reduced from time to time, (h) all Disqualified Equity Interests, (i) the principal balance outstanding under any synthetic lease, tax retention operating lease, accounts receivable securitization program (other than Attributable Securitization Indebtedness), off-balance sheet loan or similar off-balance sheet financing product, based on the amount that would be deemed outstanding thereunder if such transaction was structured as a secured financing on balance sheet, (j) as an account party in respect of letters of credit and similar agreements (including bank guarantees), (k) all obligations, contingent or otherwise, of such Person in respect of bankers’ acceptances, (l) obligations under any earnout which has become a liability on the balance sheet, (m) any other off-balance sheet liability, (n)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(o) any Indebtedness of a separate account maintained by an Insurance Subsidiary, (p) any surplus notes reported as surplus in the statutory financial statements filed by any Insurance Subsidiary in its jurisdiction of domicile and (q) all Attributable Securitization Indebtedness of such Person. The Indebtedness of any Person shall include the Indebtedness of any other entity (including any partnership or unincorporated joint venture in which such Person is a general partner or a joint venturer) to the extent such Person is liable therefor as a result of such Person’s ownership interest in or other relationship with such entity, except to the extent the terms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50" w:lineRule="auto"/>
        <w:rPr>
          <w:sz w:val="20"/>
          <w:szCs w:val="20"/>
          <w:color w:val="auto"/>
        </w:rPr>
      </w:pPr>
      <w:r>
        <w:rPr>
          <w:rFonts w:ascii="Times New Roman" w:cs="Times New Roman" w:eastAsia="Times New Roman" w:hAnsi="Times New Roman"/>
          <w:sz w:val="22"/>
          <w:szCs w:val="22"/>
          <w:color w:val="auto"/>
        </w:rPr>
        <w:t>Indebtedness provide that such Person is not liable therefor. For the avoidance of doubt, notwithstanding anything to the contrary set forth herein, (x) intercompany advances in the ordinary course in respect of operating costs (such as cash management obligations, royalty fees, “cost-plus” arrangements and/or transfer pricing) shall not constitute Indebtedness, (y) obligations which would otherwise constitute Indebtedness but which have been cash collateralized or amounts for the repayment thereof placed in escrow shall not constitute Indebtedness to the extent of such cash collateral or escrowed amounts and (z) Indebtedness shall exclude any obligations or liabilities arising under any insurance or reinsurance policies or contracts of any Insurance Subsidiary.</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Other Taxes.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Institution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License</w:t>
      </w:r>
      <w:r>
        <w:rPr>
          <w:rFonts w:ascii="Times New Roman" w:cs="Times New Roman" w:eastAsia="Times New Roman" w:hAnsi="Times New Roman"/>
          <w:sz w:val="22"/>
          <w:szCs w:val="22"/>
          <w:color w:val="auto"/>
        </w:rPr>
        <w:t>” means, with respect to any Insurance Subsidiary, any license (including, without limitation, licenses or certificates of authority from relevant Insurance Regulatory Authorities), permits or authorizations to transact insurance and reinsurance business held or required to be held by such Insurance Subsidiary.</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Regulatory Authority</w:t>
      </w:r>
      <w:r>
        <w:rPr>
          <w:rFonts w:ascii="Times New Roman" w:cs="Times New Roman" w:eastAsia="Times New Roman" w:hAnsi="Times New Roman"/>
          <w:sz w:val="22"/>
          <w:szCs w:val="22"/>
          <w:color w:val="auto"/>
        </w:rPr>
        <w:t>” means, with respect to any Insurance Subsidiary, the insurance department or similar Governmental Authority charged with regulating insurance or reinsurance companies or insurance or reinsurance holding companies in its jurisdiction of domicile and, to the extent that it has regulatory authority over such Insurance Subsidiary, in each other jurisdiction in which such Insurance Subsidiary conducts business or is licensed to conduct business.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Subsidiary</w:t>
      </w:r>
      <w:r>
        <w:rPr>
          <w:rFonts w:ascii="Times New Roman" w:cs="Times New Roman" w:eastAsia="Times New Roman" w:hAnsi="Times New Roman"/>
          <w:sz w:val="22"/>
          <w:szCs w:val="22"/>
          <w:color w:val="auto"/>
        </w:rPr>
        <w:t>” means any Wholly-Owned Subsidiary that is regulated by an Insurance Regulatory Authority or that is otherwise required to be regulated thereby in accordance with the applicable Requirements of Law of its jurisdiction of domicile.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Subsidiary Holding Company</w:t>
      </w:r>
      <w:r>
        <w:rPr>
          <w:rFonts w:ascii="Times New Roman" w:cs="Times New Roman" w:eastAsia="Times New Roman" w:hAnsi="Times New Roman"/>
          <w:sz w:val="22"/>
          <w:szCs w:val="22"/>
          <w:color w:val="auto"/>
        </w:rPr>
        <w:t>” means any Restricted Subsidiary, substantially all of the assets of which consist of Equity Interests or Indebtedness of one or more direct or indirect Insurance Subsidiaries.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a Borrower to convert or continue a Borrowing in accordance with </w:t>
      </w:r>
      <w:r>
        <w:rPr>
          <w:rFonts w:ascii="Times New Roman" w:cs="Times New Roman" w:eastAsia="Times New Roman" w:hAnsi="Times New Roman"/>
          <w:sz w:val="22"/>
          <w:szCs w:val="22"/>
          <w:u w:val="single" w:color="auto"/>
          <w:color w:val="auto"/>
        </w:rPr>
        <w:t>Section 2.07(c)</w:t>
      </w:r>
      <w:r>
        <w:rPr>
          <w:rFonts w:ascii="Times New Roman" w:cs="Times New Roman" w:eastAsia="Times New Roman" w:hAnsi="Times New Roman"/>
          <w:sz w:val="22"/>
          <w:szCs w:val="22"/>
          <w:color w:val="auto"/>
        </w:rPr>
        <w:t>, which shall be substantially in the form separately provided to the Borrower Representative by the Administrative Agent prior to the date of this Agreement, or such alternate form as may be mutually agreed by the Administrative Agent and the Borrower Representative from time to time.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6" w:name="page127"/>
    <w:bookmarkEnd w:id="126"/>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Loan (other than a Swingline Loan) or CBR Loan, the last day of each March, June, September and December and the applicable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applicable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applicable Maturity Date and (d) with respect to any Swingline Loan, the day that such Loan is required to be repaid and the Revolving Credit Maturity Date.</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a Borrower may elect;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2.13(e) shall be available for specification in such Borrowing Request or Interest Election Request. For purposes hereof, the date of a Borrowing initially shall be the date on which such Borrowing is made and, other than in the case of a Swingline Loan, thereafter shall be the effective date of the most recent conversion or continuation of such Borrowing.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Charge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9.15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means, individually and collectively, each of JPMCB (or any of its designated branch offices or affiliates) and Wells Fargo Bank, National Association, in its capacity as the issuer of Letters of Credit hereunder, and any other Revolving Lender from time to time designated by the Company as an Issuing Bank, with the consent of such Revolving Lender and the Administrative Agent, and their respective successors in such capacity as provided in Section 2.05(i).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7" w:lineRule="auto"/>
        <w:rPr>
          <w:sz w:val="20"/>
          <w:szCs w:val="20"/>
          <w:color w:val="auto"/>
        </w:rPr>
      </w:pPr>
      <w:r>
        <w:rPr>
          <w:rFonts w:ascii="Times New Roman" w:cs="Times New Roman" w:eastAsia="Times New Roman" w:hAnsi="Times New Roman"/>
          <w:sz w:val="22"/>
          <w:szCs w:val="22"/>
          <w:color w:val="auto"/>
        </w:rPr>
        <w:t>requirements of Section 2.05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 Sublimit</w:t>
      </w:r>
      <w:r>
        <w:rPr>
          <w:rFonts w:ascii="Times New Roman" w:cs="Times New Roman" w:eastAsia="Times New Roman" w:hAnsi="Times New Roman"/>
          <w:sz w:val="22"/>
          <w:szCs w:val="22"/>
          <w:color w:val="auto"/>
        </w:rPr>
        <w:t xml:space="preserve">” means, as of the Effective Date, (i) $112,600,000, in the case of JPMCB, (ii) $62,400,000, in the case of Wells Fargo Bank, National Association, and (iii) in the case of any other Issuing Bank, such amount as shall be designated to the Administrative Agent and the Borrower Representative in writing by such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the consent of the Borrower Representative, any Issuing Bank shall be permitted at any time to increase or reduce its Issuing Bank Sublimit upon providing five (5) days’ prior written notice thereof to the Administrative Agent.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JPMCB</w:t>
      </w:r>
      <w:r>
        <w:rPr>
          <w:rFonts w:ascii="Times New Roman" w:cs="Times New Roman" w:eastAsia="Times New Roman" w:hAnsi="Times New Roman"/>
          <w:sz w:val="22"/>
          <w:szCs w:val="22"/>
          <w:color w:val="auto"/>
        </w:rPr>
        <w:t>” means JPMorgan Chase Bank, N.A., a national banking association, in its individual capacity, and its successors.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Collateral Account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2.05(j)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 Issuing Bank pursuant to a Letter of Credit.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the sum of (a) the Dollar Equivalent of the aggregate undrawn amount of all outstanding Letters of Credit at such time, plus (b) the Dollar Equivalent of the aggregate amount of all LC Disbursements that have not yet been reimbursed by or on behalf of a Borrower at such time. The LC Exposure of any Revolving Lender at any time shall be its Applicable Percentage of the aggregate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applicable Borrower and each Lender shall remain in full force and effect until the Issuing Bank and the Lenders shall have no further obligations to make any payments or disbursements under any circumstances with respect to any Letter of Credit.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Election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Test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any Lender, any Person as to which such Lender is, directly or indirectly, a subsidiary.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means the Persons listed on the </w:t>
      </w:r>
      <w:r>
        <w:rPr>
          <w:rFonts w:ascii="Times New Roman" w:cs="Times New Roman" w:eastAsia="Times New Roman" w:hAnsi="Times New Roman"/>
          <w:sz w:val="22"/>
          <w:szCs w:val="22"/>
          <w:u w:val="single" w:color="auto"/>
          <w:color w:val="auto"/>
        </w:rPr>
        <w:t>Commitment Schedule</w:t>
      </w:r>
      <w:r>
        <w:rPr>
          <w:rFonts w:ascii="Times New Roman" w:cs="Times New Roman" w:eastAsia="Times New Roman" w:hAnsi="Times New Roman"/>
          <w:sz w:val="22"/>
          <w:szCs w:val="22"/>
          <w:color w:val="auto"/>
        </w:rPr>
        <w:t xml:space="preserve"> (or, if the Commitments have terminated or expired, a Person holding Loans or Revolving Exposure) and any other Person that shall have become a Lender hereunder pursuant to an Assignment and Assumption or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or other documentation contemplated hereby, other than any such Person that ceases to be a Lender hereunder pursuant to an Assignment and Assumption or other documentation contemplated hereby. Unless the context otherwise requires, the term “Lenders” includes the Swingline Lender and the Issuing Bank.</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 and the Existing Letters of Credit, and the term “Letter of Credit” means any one of them or each of them singularly, as the context may require.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any preference, priority or other preferential arrangement of any kind in the nature of security.</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Condition Transaction</w:t>
      </w:r>
      <w:r>
        <w:rPr>
          <w:rFonts w:ascii="Times New Roman" w:cs="Times New Roman" w:eastAsia="Times New Roman" w:hAnsi="Times New Roman"/>
          <w:sz w:val="22"/>
          <w:szCs w:val="22"/>
          <w:color w:val="auto"/>
        </w:rPr>
        <w:t>” means (a) any Acquisition or other Investment (whether by merger, amalgamation, consolidation or other business combination or the acquisition of the Equity Interests or otherwise) by the Company or one or more Restricted Subsidiaries permitted pursuant to this Agreement whose consummation is not conditioned on the availability of, or on obtaining, third party financing, (b) any redemption, repurchase, defeasance, satisfaction and discharge or repayment of Indebtedness requiring irrevocable notice in advance of such redemption, repurchase, defeasance, satisfaction and discharge or repayment, and/or (c) any declaration of dividends or distributions, or redemptions with respect to any Equity Interest in the Company or any Restricted Subsidiary not prohibited by this Agreement, requiring irrevocable notice in advance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Condition Transaction Incremental Loan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Agreements</w:t>
      </w:r>
      <w:r>
        <w:rPr>
          <w:rFonts w:ascii="Times New Roman" w:cs="Times New Roman" w:eastAsia="Times New Roman" w:hAnsi="Times New Roman"/>
          <w:sz w:val="22"/>
          <w:szCs w:val="22"/>
          <w:color w:val="auto"/>
        </w:rPr>
        <w:t>” means, collectively, the operating agreement of the Company and all other agreements among the Company and/or members of the Company governing the business and operations of the Company, distributions of the Company to its members, allocations among its members and other similar matters with respect to the Company or its membership interests.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each promissory note issued pursuant to this Agreement, each Letter of Credit agreement, each Guaranty, each Compliance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53" w:lineRule="auto"/>
        <w:rPr>
          <w:sz w:val="20"/>
          <w:szCs w:val="20"/>
          <w:color w:val="auto"/>
        </w:rPr>
      </w:pPr>
      <w:r>
        <w:rPr>
          <w:rFonts w:ascii="Times New Roman" w:cs="Times New Roman" w:eastAsia="Times New Roman" w:hAnsi="Times New Roman"/>
          <w:sz w:val="22"/>
          <w:szCs w:val="22"/>
          <w:color w:val="auto"/>
        </w:rPr>
        <w:t>Certificate, each Subordination Agreement, and each other agreement, instrument and document executed and delivered to, or in favor of, the Administrative Agent or any Lender and each other written matter whether heretofore, now or hereafter executed by or on behalf of any Loan Party and delivered to the Administrative Agent or any Lender in connection with this Agreement or the transactions contemplated hereby which, in each case, is designated as a “Loan Document”. Any reference in this Agreement or any other Loan Document to a Loan Document shall include all appendices, exhibits or schedules thereto.</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Borrowers and the Guarantors and their successors and assigns, and the term “</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means any one of them or all of them individually, as the context may require.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and advances made by the Lenders pursuant to this Agreement, including Swingline Loans.</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Debt</w:t>
      </w:r>
      <w:r>
        <w:rPr>
          <w:rFonts w:ascii="Times New Roman" w:cs="Times New Roman" w:eastAsia="Times New Roman" w:hAnsi="Times New Roman"/>
          <w:sz w:val="22"/>
          <w:szCs w:val="22"/>
          <w:color w:val="auto"/>
        </w:rPr>
        <w:t>” means any Indebtedness that, in accordance with GAAP, constitutes (or, when incurred, constituted) a long-term liability.</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Maintenance Capital Expenditures</w:t>
      </w:r>
      <w:r>
        <w:rPr>
          <w:rFonts w:ascii="Times New Roman" w:cs="Times New Roman" w:eastAsia="Times New Roman" w:hAnsi="Times New Roman"/>
          <w:sz w:val="22"/>
          <w:szCs w:val="22"/>
          <w:color w:val="auto"/>
        </w:rPr>
        <w:t>” means, for any period, all Capital Expenditures during such period that relate solely to replacement and refurbishment of existing fixed or capital assets of any Person but not including any Capital Expenditure (a) associated with improvements or upgrades to fixed or capital assets or (b)(i) funded with Equity Interests or the proceeds of the issuance of Equity Interests that are not Disqualified Equity Interests or (ii) funded or reimbursed by a Person other than the Company or its Restricted Subsidiaries (including with the proceeds of any insurance and tenant improvements).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 as applicable.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Markel</w:t>
      </w:r>
      <w:r>
        <w:rPr>
          <w:rFonts w:ascii="Times New Roman" w:cs="Times New Roman" w:eastAsia="Times New Roman" w:hAnsi="Times New Roman"/>
          <w:sz w:val="22"/>
          <w:szCs w:val="22"/>
          <w:color w:val="auto"/>
        </w:rPr>
        <w:t>” means Markel Group, Inc., a corporation incorporated under the laws of the State of Virginia.</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Alliance Agreement</w:t>
      </w:r>
      <w:r>
        <w:rPr>
          <w:rFonts w:ascii="Times New Roman" w:cs="Times New Roman" w:eastAsia="Times New Roman" w:hAnsi="Times New Roman"/>
          <w:sz w:val="22"/>
          <w:szCs w:val="22"/>
          <w:color w:val="auto"/>
        </w:rPr>
        <w:t>” means, collectively, the (a) Third Amended and Restated Master Alliance Agreement, dated June 20, 2019, between the Company and Markel and (b) Master Alliance Agreement, dated December 28, 2020, between the Company and State Farm Mutual Automobile Insurance Company.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Acquisition</w:t>
      </w:r>
      <w:r>
        <w:rPr>
          <w:rFonts w:ascii="Times New Roman" w:cs="Times New Roman" w:eastAsia="Times New Roman" w:hAnsi="Times New Roman"/>
          <w:sz w:val="21"/>
          <w:szCs w:val="21"/>
          <w:color w:val="auto"/>
        </w:rPr>
        <w:t>” means any Permitted Acquisition having total consideration greater than or equal to $30,000,000.</w:t>
      </w:r>
    </w:p>
    <w:p>
      <w:pPr>
        <w:spacing w:after="0" w:line="2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assets, financial condition or results of operation of the Company and its Restricted Subsidiaries, taken as a whole, (b) the ability of the Company and its Restricted Subsidiaries, taken as a whole, to perform their payment obligations under any of the Loan Documents or (c) the rights and remedies, taken as a whole, available to the Lenders under the Loan Documents.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30" w:name="page131"/>
    <w:bookmarkEnd w:id="130"/>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Credit Support</w:t>
      </w:r>
      <w:r>
        <w:rPr>
          <w:rFonts w:ascii="Times New Roman" w:cs="Times New Roman" w:eastAsia="Times New Roman" w:hAnsi="Times New Roman"/>
          <w:sz w:val="22"/>
          <w:szCs w:val="22"/>
          <w:color w:val="auto"/>
        </w:rPr>
        <w:t>” means, at any time with respect to any Material Indebtedness, Incremental Equivalent Debt, Ratio Debt or Subordinated Debt of the Company or any Subsidiary or for any Indebtedness of an Unrestricted Subsidiary, credit support in respect of such Indebtedness provided by any Person in an aggregate amount exceeding an amount equal to 25% of the fair market value of the total assets of such Person and its Subsidiaries at such time calculated in accordance with GAAP on a consolidated basis.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(x) the Obligations and (y) Attributable Securitization Indebtedness in respect of Permitted Securitization Facilities) of any one or more of the Loan Parties in an aggregate principal amount outstanding exceeding $15,000,000. For purposes of determining Material Indebtedness, the “obligations” of the Company or any Restricted Subsidiary in respect of any Swap Agreement at any time shall be the maximum aggregate amount (giving effect to any netting agreements) that the Company or such Restricted Subsidiary would be required to pay if such Swap Agreement were terminated at such time (after giving effect to netting arrangements).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(a) with respect to the Revolving Commitments, Revolving Loans, Swingline Loans and Letters of Credit, the Revolving Credit Maturity Date and (b) with respect to any other Class of Loans or Commitments, the maturity date of such Class established pursuant to Section 2.08 and/or 2.23, as applicable.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MFN Provision</w:t>
      </w:r>
      <w:r>
        <w:rPr>
          <w:rFonts w:ascii="Times New Roman" w:cs="Times New Roman" w:eastAsia="Times New Roman" w:hAnsi="Times New Roman"/>
          <w:sz w:val="22"/>
          <w:szCs w:val="22"/>
          <w:color w:val="auto"/>
        </w:rPr>
        <w:t>” has the meaning assigned to such term in Section 2.08(e).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Leverage Ratio</w:t>
      </w:r>
      <w:r>
        <w:rPr>
          <w:rFonts w:ascii="Times New Roman" w:cs="Times New Roman" w:eastAsia="Times New Roman" w:hAnsi="Times New Roman"/>
          <w:sz w:val="22"/>
          <w:szCs w:val="22"/>
          <w:color w:val="auto"/>
        </w:rPr>
        <w:t xml:space="preserve">” means, at any time, the ratio of (a) Consolidated Net Indebtedness at such time to (b) Consolidated EBITDA, as calculated for the four most recently ended Fiscal Quarters, all calculated for the Company and its Restricted Subsidiaries on a consolidated basis in accordance with GAAP. Notwithstanding anything contained herein to the contrary, for the purposes of calculating the Net Leverage Ratio, “Indebtedness” shall not include (A) Letters of Credit issued pursuant to this Agreement and (B) undrawn letters of credit with an aggregate maximum face amount, in the case of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of up to the greater of (x) $50,000,000 and (y) 33% of Applicable EBITDA.</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means, with respect to any Disposition or issuance of Equity Interests,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condemnation awards and similar payments,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(i) all reasonable fees and out-of-pocket expenses paid to third parties (other than Affiliates) in connection with such event, (ii) in the case of a sale, transfer or other Disposition of an asset (including pursuant to a sale and leaseback transaction or a casualty, taking by eminent domain or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Company).</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 Otherwise Applied</w:t>
      </w:r>
      <w:r>
        <w:rPr>
          <w:rFonts w:ascii="Times New Roman" w:cs="Times New Roman" w:eastAsia="Times New Roman" w:hAnsi="Times New Roman"/>
          <w:sz w:val="22"/>
          <w:szCs w:val="22"/>
          <w:color w:val="auto"/>
        </w:rPr>
        <w:t>” means, with reference to any amount of proceeds of any sale or issuance of Equity Interests or any other transaction or event that is proposed to be applied to a particular use or transaction, that such amount has not previously been (and is not simultaneously being) applied for any other purposes under this Agreement and the other Loan Documents, other than that such particular use or transaction.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 all unpaid principal of and accrued and unpaid interest on the Loans, all LC Exposure, all accrued and unpaid fees, expenses, reimbursements, indemnities and other obligations and indebtedness (including interest and fees accruing during the pendency of any bankruptcy, insolvency, receivership or other similar proceeding, regardless of whether allowed or allowable in such proceeding) of any of the Loan Parties to any of the Lenders, the Administrative Agent, the Issuing Bank or any Indemnitee,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in each case, under this Agreement or any of the other Loan Documents or in respect of any of the Loans made or reimbursement or other obligations incurred or any of the Letters of Credit or other instruments at any time evidencing any thereof, (b) the Banking Services Obligations, and (c) the Swap Obligations owing to one or more Lenders or their respective Affiliates; and provided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32" w:name="page133"/>
    <w:bookmarkEnd w:id="132"/>
    <w:p>
      <w:pPr>
        <w:jc w:val="both"/>
        <w:spacing w:after="0" w:line="271" w:lineRule="auto"/>
        <w:rPr>
          <w:sz w:val="20"/>
          <w:szCs w:val="20"/>
          <w:color w:val="auto"/>
        </w:rPr>
      </w:pPr>
      <w:r>
        <w:rPr>
          <w:rFonts w:ascii="Times New Roman" w:cs="Times New Roman" w:eastAsia="Times New Roman" w:hAnsi="Times New Roman"/>
          <w:sz w:val="22"/>
          <w:szCs w:val="22"/>
          <w:color w:val="auto"/>
        </w:rPr>
        <w:t>definition of “Obligations” shall not create any guarantee by any Loan Party of any Excluded Swap Obligations of such Loan Party for the purposes of determining any obligation of any Loan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imposed with respect to an assignment (other than an assignment made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Outbound Investment Rules</w:t>
      </w:r>
      <w:r>
        <w:rPr>
          <w:rFonts w:ascii="Times New Roman" w:cs="Times New Roman" w:eastAsia="Times New Roman" w:hAnsi="Times New Roman"/>
          <w:sz w:val="22"/>
          <w:szCs w:val="22"/>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(a) with respect to any amount denominated in Dollars, the NYFRB Rate and (b) with respect to any amount denominated in an Alternative Currency, an overnight rate determined by the Administrative Agent or the Issuing Banks, as the case may be, in accordance with banking industry rules on interbank compensation.</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Paid in Full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Payment in Full</w:t>
      </w:r>
      <w:r>
        <w:rPr>
          <w:rFonts w:ascii="Times New Roman" w:cs="Times New Roman" w:eastAsia="Times New Roman" w:hAnsi="Times New Roman"/>
          <w:sz w:val="22"/>
          <w:szCs w:val="22"/>
          <w:color w:val="auto"/>
        </w:rPr>
        <w:t>” means (i) the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 back-up standby letter of credit reasonably satisfactory to the Administrative Agent and the Issuing Bank, in an amount equal to 105% of the LC Exposure as of the date of such payment), (iii) the payment in full in cash of the accrued and unpaid fees, (iv) the payment in full in cash of all reimbursable expenses and other Obligations (other than Obligations that are Unliquidated Obligations for which no claim has been made and other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3" w:name="page134"/>
    <w:bookmarkEnd w:id="133"/>
    <w:p>
      <w:pPr>
        <w:spacing w:after="0" w:line="271" w:lineRule="auto"/>
        <w:rPr>
          <w:sz w:val="20"/>
          <w:szCs w:val="20"/>
          <w:color w:val="auto"/>
        </w:rPr>
      </w:pPr>
      <w:r>
        <w:rPr>
          <w:rFonts w:ascii="Times New Roman" w:cs="Times New Roman" w:eastAsia="Times New Roman" w:hAnsi="Times New Roman"/>
          <w:sz w:val="22"/>
          <w:szCs w:val="22"/>
          <w:color w:val="auto"/>
        </w:rPr>
        <w:t>obligations expressly stated to survive such payment and termination of this Agreement), together with accrued and unpaid interest thereon (if any) and (v) the termination of all Commitments.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Union that has the euro as its lawful currency in accordance with legislation of the European Union relating to Economic and Monetary Union.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8.06(c)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means an Acquisition by any Loan Party or any Restricted Subsidiary in a transaction that satisfies each of the following requirements:</w:t>
      </w:r>
    </w:p>
    <w:p>
      <w:pPr>
        <w:spacing w:after="0" w:line="131"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not a hostile or contested acquisition;</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acquired in connection with such Acquisition is not engaged, directly or indirectly, in any line of business other than the business in which any Loan Party or Restricted Subsidiary is engaged on the Effective Date or any business activities that are reasonably similar, related, ancillary, complimentary or incidental thereto or a reasonable extension, development or expansion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both before and after giving effect (including giving effect on a Pro Forma Basis) to such Acquisition and the Loans (if any) requested to be made in connection therewith, each of the representations and warranties in the Loan Documents is true and correct in all material respects (or in all respects in the case of any representation or warranty qualified by materiality or Material Adverse Effect) (except (i) any such representation or warranty which relates to a specified prior date and (ii) to the extent the Lenders have been notified in writing by the Loan Parties that any representation or warranty is not correct and the Required Lenders have explicitly waived in writing compliance with such representation or warranty) and no Default exists, will exist, or would result therefrom, and the Company is in compliance with the covenants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6.13</w:t>
      </w:r>
      <w:r>
        <w:rPr>
          <w:rFonts w:ascii="Times New Roman" w:cs="Times New Roman" w:eastAsia="Times New Roman" w:hAnsi="Times New Roman"/>
          <w:sz w:val="22"/>
          <w:szCs w:val="22"/>
          <w:color w:val="auto"/>
        </w:rPr>
        <w:t xml:space="preserve"> on a Pro Forma Basis;</w:t>
      </w:r>
    </w:p>
    <w:p>
      <w:pPr>
        <w:spacing w:after="0" w:line="156"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1"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not less than five (5) days (or such shorter period as may be agreed to by the Administrative Agent) prior to such Acquisition, the Company has provided the Administrative Agent notice of such Acquisition;</w:t>
      </w:r>
    </w:p>
    <w:p>
      <w:pPr>
        <w:spacing w:after="0" w:line="134" w:lineRule="exact"/>
        <w:rPr>
          <w:rFonts w:ascii="Times New Roman" w:cs="Times New Roman" w:eastAsia="Times New Roman" w:hAnsi="Times New Roman"/>
          <w:sz w:val="21"/>
          <w:szCs w:val="21"/>
          <w:color w:val="auto"/>
        </w:rPr>
      </w:pPr>
    </w:p>
    <w:p>
      <w:pPr>
        <w:ind w:firstLine="656"/>
        <w:spacing w:after="0" w:line="236" w:lineRule="auto"/>
        <w:tabs>
          <w:tab w:leader="none" w:pos="12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after giving effect (including giving effect on a Pro Forma Basis) to such Acquisition, the Company was and will be able to borrow at least $5,000,000 of additional Loans;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4" w:name="page135"/>
    <w:bookmarkEnd w:id="134"/>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Acquisition is an acquisition of Equity Interests, such Acquisition will not result in any violation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Regulation U.</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193" w:lineRule="exact"/>
        <w:rPr>
          <w:sz w:val="20"/>
          <w:szCs w:val="20"/>
          <w:color w:val="auto"/>
        </w:rPr>
      </w:pPr>
    </w:p>
    <w:p>
      <w:pPr>
        <w:ind w:firstLine="656"/>
        <w:spacing w:after="0" w:line="236" w:lineRule="auto"/>
        <w:tabs>
          <w:tab w:leader="none" w:pos="1293"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imposed by law for taxes, fees, assessments or other governmental charges or levies that are (i) not required to be paid under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or (ii) being contested in compliance with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carriers’, warehousemen’s, mechanics’, materialmen’s, landlord’s, repairmen’s and other like Liens imposed by law, arising in the ordinary course of business and securing obligations that (i) are not overdue by more than forty-five (45) days or (ii) are being contested in compliance with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pledges or deposits made in the ordinary course of business (i) in connection with workers’ compensation, unemployment insurance and other social security laws or regulations and (ii) 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or pledges (i) to secure the performance of bids, tenders, licenses, trade contracts, leases, statutory obligations, surety and appeal bonds, performance bonds and other obligations of a like nature, in each case in the ordinary course of business, (ii) made in lieu of, or to secure the performance of, surety, customs, reclamation or performance bonds or</w:t>
      </w:r>
    </w:p>
    <w:p>
      <w:pPr>
        <w:spacing w:after="0" w:line="1" w:lineRule="exact"/>
        <w:rPr>
          <w:rFonts w:ascii="Times New Roman" w:cs="Times New Roman" w:eastAsia="Times New Roman" w:hAnsi="Times New Roman"/>
          <w:sz w:val="22"/>
          <w:szCs w:val="22"/>
          <w:color w:val="auto"/>
        </w:rPr>
      </w:pPr>
    </w:p>
    <w:p>
      <w:pPr>
        <w:ind w:firstLine="8"/>
        <w:spacing w:after="0" w:line="225" w:lineRule="auto"/>
        <w:tabs>
          <w:tab w:leader="none" w:pos="38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or described in </w:t>
      </w:r>
      <w:r>
        <w:rPr>
          <w:rFonts w:ascii="Times New Roman" w:cs="Times New Roman" w:eastAsia="Times New Roman" w:hAnsi="Times New Roman"/>
          <w:sz w:val="22"/>
          <w:szCs w:val="22"/>
          <w:u w:val="single" w:color="auto"/>
          <w:color w:val="auto"/>
        </w:rPr>
        <w:t>Section 6.01(i)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6.01(o)</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in respect of judgments and other proceedings that do not constitute an Event of Default under </w:t>
      </w:r>
      <w:r>
        <w:rPr>
          <w:rFonts w:ascii="Times New Roman" w:cs="Times New Roman" w:eastAsia="Times New Roman" w:hAnsi="Times New Roman"/>
          <w:sz w:val="22"/>
          <w:szCs w:val="22"/>
          <w:u w:val="single" w:color="auto"/>
          <w:color w:val="auto"/>
        </w:rPr>
        <w:t>clause (k)</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pledges or cash deposits made in lieu of, or to secure the performance of, judgment or appeal bonds in respect of such judgments and proceedings;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building codes, licenses, title restrictions, rights-of-way and similar encumbrances, including any restrictions, laws, ordinances, rules, regulations, orders or determinations, on real property imposed by law or incurred or granted by the Company or any Restricted Subsidiary in the ordinary course of business that do not secure any material monetary obligations and do not materially detract from the value of the affected property or interfere with the ordinary conduct of business of the Company or any Restricted Subsidiary in any material respect;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minor imperfections in title that do not materially detract from the value of the affected property or interfere with the ordinary conduct of business of Company or any Restricted Subsidiary in any material respect;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collecting banks arising by operation of law pursuant to Article 4 of the UCC;</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or sublessor (including any mortgagee thereof) or licensor or sublicensor under any lease, sublease, license or sublicense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135" w:name="page136"/>
    <w:bookmarkEnd w:id="135"/>
    <w:p>
      <w:pPr>
        <w:ind w:firstLine="656"/>
        <w:spacing w:after="0" w:line="236" w:lineRule="auto"/>
        <w:tabs>
          <w:tab w:leader="none" w:pos="128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uniform commercial code financing statements filed under any lease permitted by this Agreement;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sublicenses, leases or subleases granted to third parties in the ordinary course of business not interfering with the business of the Loan Parties or any Restricted Subsidiaries taken as a whole (and not securing obligations for the payment of borrowed money);</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(including the right of setoff or similar rights and remedies) in favor of (i) a bank, depository institution or securities intermediary arising as a matter of law or under customary general terms and conditions encumbering deposits and other funds maintained in deposit or securities accounts (and not securing obligations for the payment of borrowed money) and</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providing Banking Services;</w:t>
      </w:r>
    </w:p>
    <w:p>
      <w:pPr>
        <w:spacing w:after="0" w:line="155"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any cash and Permitted Investment earnest money deposits made by the Company or any Restricted Subsidiary in connection with any letter of intent or purchase agreement entered into with respect to (i) a Permitted Acquisition or (ii) any other Investment permitted under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 the Equity Interests of, and property owned by, any Restricted Subsidiary that is not a Loan Party securing Indebtedness and other liabilities of such Restricted Subsidiary and guarantees of the Indebtedness or other liabilities of such Person permitted hereunder, (ii) the Equity Interests of any joint venture entity in the form of a transfer restriction, purchase option, call, right of first refusal, tag and drag or similar right in connection with a joint venture, (iii) the Equity Interests of a Securitization SPE and (iv) the Permitted Securitization Facility Assets owned by any Securitization SPE.</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Holders</w:t>
      </w:r>
      <w:r>
        <w:rPr>
          <w:rFonts w:ascii="Times New Roman" w:cs="Times New Roman" w:eastAsia="Times New Roman" w:hAnsi="Times New Roman"/>
          <w:sz w:val="21"/>
          <w:szCs w:val="21"/>
          <w:color w:val="auto"/>
        </w:rPr>
        <w:t xml:space="preserve">” means (a) (i) McKeel O. Hagerty, his siblings (whether natural or adopted), their respective lineal descendants (whether natural or adopted), any of their spouses, former spouses, domestic partners or former domestic partners (collectively, the “Hagerty Family Members”), (ii) Affiliates of the Hagerty Family Members, (iii) any estate, trust, guardianship, custodianship, or other fiduciary arrangement for the primary benefit of one or more Hagerty Family Members and (iv) any Qualified Charitable Organization, (b) Markel, (c) any Holdco Entity, or (d) any Affiliate of any of the Persons set forth in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Markel or Holdco Entity which is Controlled by either the Persons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Markel or Holdco Entity.</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Insurance Subsidiary Dividends</w:t>
      </w:r>
      <w:r>
        <w:rPr>
          <w:rFonts w:ascii="Times New Roman" w:cs="Times New Roman" w:eastAsia="Times New Roman" w:hAnsi="Times New Roman"/>
          <w:sz w:val="22"/>
          <w:szCs w:val="22"/>
          <w:color w:val="auto"/>
        </w:rPr>
        <w:t>” means, at any time with respect to any Insurance Subsidiary, the amount of cash dividends such Insurance Subsidiary is legally and contractually permitted to make, without the consent of any third party or Governmental Authority, to a Loan Party (or to an Insurance Subsidiary Holding Company, which would be permitted to make such dividends to a Loan Party) as of such time.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Intercompany Activities</w:t>
      </w:r>
      <w:r>
        <w:rPr>
          <w:rFonts w:ascii="Times New Roman" w:cs="Times New Roman" w:eastAsia="Times New Roman" w:hAnsi="Times New Roman"/>
          <w:sz w:val="21"/>
          <w:szCs w:val="21"/>
          <w:color w:val="auto"/>
        </w:rPr>
        <w:t>” means any transactions (A) between or among the Company and/or its Subsidiaries and Permitted Joint Ventures that are entered into in the ordinary course of business and, in the good faith judgment of the Company, are necessary or advisable in connection with the ownership or operation of the business of the Company and/or its Subsidiaries and Permitted Joint Ventures consisting of (i) payroll, benefits, cash management, purchasing, insurance and hedging arrangements, (ii) management, technology and licensing arrangements, (iii) customer loyalty and rewards programs,</w:t>
      </w:r>
    </w:p>
    <w:p>
      <w:pPr>
        <w:spacing w:after="0" w:line="2"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accounting functions, merchant or vendor guarantees, (v) professional services, utilities and maintenance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9"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36" w:name="page137"/>
    <w:bookmarkEnd w:id="13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transactions, or (vi) Tax-Related Transactions and shared services, (B) between or among the Company, its Restricted Subsidiaries and/or any captive insurance Restricted Subsidiaries in the ordinary course of business and, in the good faith judgment of the Company, are necessary or advisable in connection with the ownership or operation of the business of the Company, its Restricted Subsidiaries and/or its captive insurance Restricted Subsidiaries, or (C) other transactions between or among the Company and/or its Subsidiaries and Permitted Joint Ventures that are entered into in the ordinary course of business and, in the good faith judgment of the Company, are necessary or advisable in connection with the ownership or operation of the business of the Company and/or its Subsidiaries and Permitted Joint Ventures; provided that any transactions entered into in accordance with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not exceed $5,000,000 in the aggregate per calendar year.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193" w:lineRule="exact"/>
        <w:rPr>
          <w:sz w:val="20"/>
          <w:szCs w:val="20"/>
          <w:color w:val="auto"/>
        </w:rPr>
      </w:pPr>
    </w:p>
    <w:p>
      <w:pPr>
        <w:ind w:right="20" w:firstLine="656"/>
        <w:spacing w:after="0" w:line="236" w:lineRule="auto"/>
        <w:tabs>
          <w:tab w:leader="none" w:pos="12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the United States of America or any agency thereof or obligations guaranteed by the United States of America or any agency thereof, in each case with maturities not exceeding two (2) years from the date of acquisition;</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deposit accounts, certificates of deposit, overnight bank deposits and money market deposits maturing within one (1) year of the date of acquisition thereof issued by a Lender that is a bank or trust company, or by any bank or trust company that is organized under the laws of the United States of America, or any state thereof having capital, surplus and undivided profits in excess of U.S. $250,000,000 or whose Long-Term Debt, or whose parent holding company’s Long-Term Debt, is rated A (or such similar equivalent rating or higher) by at least one (1) nationally recognized statistical rating organization (as defined in Rule 436 under the Securities Act);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 obligations with a term of not more than one (1) year for underlying securities of the types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entered into with a Lender that is a bank, or with any bank meeting the qualifications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maturing not more than one (1) year after the date of acquisition, issued by a corporation (other than an Affiliate of the Company) organized and in existence under the laws of the United States of America or any foreign country recognized by the United States of America with a rating at the time as of which any investment therein is made of P-1 (or higher) according to Moody’s, or A-1 (or higher) according to S&amp;P;</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two (2) years or less from the date of acquisition issued or fully guaranteed by any State, commonwealth or territory of the United States of America, or by any political subdivision or taxing authority thereof, and rated at least A by S&amp;P or A-2 by Moody’s;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mutual funds whose investment guidelines restrict 95% of such funds’ investments to those satisfying the provisions of clauses (a) through (e) above;</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Rule 2a-7 under the Investment Company Act of 1940, (ii) are rated AAA by S&amp;P and Aaa by Moody’s and (iii) have portfolio assets of at least U.S. $250,000,000;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7" w:name="page138"/>
    <w:bookmarkEnd w:id="137"/>
    <w:p>
      <w:pPr>
        <w:jc w:val="both"/>
        <w:ind w:firstLine="656"/>
        <w:spacing w:after="0" w:line="215" w:lineRule="auto"/>
        <w:tabs>
          <w:tab w:leader="none" w:pos="12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securities or debt instruments with a rating of BBB- or higher by S&amp;P or Baa3 or higher by Moody’s or the equivalent of such rating by such rating organization, or, if no rating of S&amp;P or Moody’s then exists, the equivalent of such rating by any other nationally recognized securities rating agency, but excluding any debt securities or instruments constituting loans or advances among the Company and its Restricted Subsidiaries, and (ii) investments in any fund that is invested at least 90% in investments of the type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which fund may also hold immaterial amounts of cash pending investment or distribution;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which is accounted for as “cash” or a “cash equivalent”, in each case, pursuant to GAAP; and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consistent with the Company’s cash management and investment practices made in the ordinary course of business and approved by the Board of Directors (or applicable authority thereof) of the Company.</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In the case of Investments by (x) any Foreign Subsidiary (but which may include Investments made indirectly by the Company or any Domestic Subsidiary), Permitted Investments shall also include investments of the type and maturity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above of foreign obligors, which investments or obligors have the ratings described in such clauses or equivalent ratings from comparable foreign rating agencies and (y) the Company or any other Restricted Subsidiary, other currencies, to the extent obtained by the Company or applicable Restricted Subsidiary in the ordinary course of operations or for the purpose of consummating transactions otherwise permitted hereunder, and other short-term investments utilized by the Company or such Restricted Subsidiary in the ordinary course of business and in accordance with normal investment practices for cash management in investments substantially similar to the foregoing investments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above.</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Joint Venture</w:t>
      </w:r>
      <w:r>
        <w:rPr>
          <w:rFonts w:ascii="Times New Roman" w:cs="Times New Roman" w:eastAsia="Times New Roman" w:hAnsi="Times New Roman"/>
          <w:sz w:val="22"/>
          <w:szCs w:val="22"/>
          <w:color w:val="auto"/>
        </w:rPr>
        <w:t>” means any joint venture (which may be in the form of any corporation, limited liability company or other Person) in which the Company or any of its Restricted Subsidiaries holds Equity Interests or otherwise participates or invests but does not hold all of the Equity Interests (exclusive of director holding qualifying shares in accordance with applicable law); provided, however, that (a) the investors or participants in such joint venture participate in such joint venture on substantially the same (or less favorable) terms as the Company or such Restricted Subsidiary and (b) no Loan Party shall, pursuant to such joint venture, be under any obligation to make equity investments in, make loans or advances to, incur Guaranty Obligations with respect to, or make any other investment in, that would be in violation of any provision of this Agreement as of the date of entering into such commitment.</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LLC Distributions</w:t>
      </w:r>
      <w:r>
        <w:rPr>
          <w:rFonts w:ascii="Times New Roman" w:cs="Times New Roman" w:eastAsia="Times New Roman" w:hAnsi="Times New Roman"/>
          <w:sz w:val="22"/>
          <w:szCs w:val="22"/>
          <w:color w:val="auto"/>
        </w:rPr>
        <w:t>” means, distributions by the Company in respect of payments required under the Tax Receivable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 Indebtedness</w:t>
      </w:r>
      <w:r>
        <w:rPr>
          <w:rFonts w:ascii="Times New Roman" w:cs="Times New Roman" w:eastAsia="Times New Roman" w:hAnsi="Times New Roman"/>
          <w:sz w:val="22"/>
          <w:szCs w:val="22"/>
          <w:color w:val="auto"/>
        </w:rPr>
        <w:t>” means Refinancing Indebtedness that satisfies the Refinancing Indebtedness Requirements; provided that Permitted Refinancing Indebtedness will not include Indebtedness or Disqualified Equity Interests of the Company or a Restricted Subsidiary that refinances Indebtedness or Disqualified Equity Interests of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38" w:name="page139"/>
    <w:bookmarkEnd w:id="138"/>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Securitization Facility</w:t>
      </w:r>
      <w:r>
        <w:rPr>
          <w:rFonts w:ascii="Times New Roman" w:cs="Times New Roman" w:eastAsia="Times New Roman" w:hAnsi="Times New Roman"/>
          <w:sz w:val="21"/>
          <w:szCs w:val="21"/>
          <w:color w:val="auto"/>
        </w:rPr>
        <w:t>” means any of one or more asset securitizations, bank conduit receivables or warehouse financing (or similar customary limited recourse, bankruptcy-remote structured financing, whether or not involving the issuance of securities and whether amortizing, term or revolving) facility or facilities created under the Permitted Securitization Facility Documents, providing for the sale, transfer, contribution, assignment and/or pledge by one or more Securitization Sellers of Permitted Securitization Facility Assets to one or more Securitization SPEs (either directly or through one or more Securitization Sellers and/or Securitization SPEs), which Securitization SPE in turn shall sell, transfer, contribute, assign and/or pledge interests in the respective Permitted Securitization Facility Assets to third-party lenders or investors (or to trustees, collateral agents or similar agents acting on behalf of such lenders or investors) pursuant to the Permitted Securitization Facility Documents.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Securitization Facility Agent</w:t>
      </w:r>
      <w:r>
        <w:rPr>
          <w:rFonts w:ascii="Times New Roman" w:cs="Times New Roman" w:eastAsia="Times New Roman" w:hAnsi="Times New Roman"/>
          <w:sz w:val="22"/>
          <w:szCs w:val="22"/>
          <w:color w:val="auto"/>
        </w:rPr>
        <w:t>” means any lender, agent, trustee, custodian, collateral agent, payment agent or other Person (other than an Affiliate of the Company) that is authorized to act on behalf of the owners of the related Permitted Securitization Facility Assets in connection with a Permitted Securitization Facility.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Securitization Facility Assets</w:t>
      </w:r>
      <w:r>
        <w:rPr>
          <w:rFonts w:ascii="Times New Roman" w:cs="Times New Roman" w:eastAsia="Times New Roman" w:hAnsi="Times New Roman"/>
          <w:sz w:val="21"/>
          <w:szCs w:val="21"/>
          <w:color w:val="auto"/>
        </w:rPr>
        <w:t>” means (a) all receivables and other rights to payment and any other assets, in each case, subject to a Permitted Securitization Facility, (b) the collateral securing such receivable or asset, all agreements, documents or instruments (including without limitation all promissory notes) evidencing such receivable, right or asset, contracts and contract rights, purchase orders, guarantees or other obligations in respect of such receivable or asset, lockbox accounts and records (including servicing records or similar records) with respect to such account or asset and any other asset customarily transferred (or in respect of which security interests are customarily granted) together with the accounts or assets in connection with a Permitted Securitization Facility, (c) any deposit account, securities account, commodities account or other account of any Loan Party to the extent solely and exclusively used to hold Permitted Securitization Facility Assets, (d) all Swap Agreements entered into by any Securitization SPE relating to any of the foregoing, and (e) any Equity Interest in a Securitization SPE or any Wholly-Owned Subsidiary of a Securitization SPE and any rights under any limited liability company agreement, trust agreement, shareholders agreement, organization or formation documents or other agreement entered into in furtherance of the organization of such entity, in each case whether now existing or arising in the future and the collections and proceeds thereof.</w:t>
      </w:r>
    </w:p>
    <w:p>
      <w:pPr>
        <w:spacing w:after="0" w:line="17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Securitization Facility Documents</w:t>
      </w:r>
      <w:r>
        <w:rPr>
          <w:rFonts w:ascii="Times New Roman" w:cs="Times New Roman" w:eastAsia="Times New Roman" w:hAnsi="Times New Roman"/>
          <w:sz w:val="21"/>
          <w:szCs w:val="21"/>
          <w:color w:val="auto"/>
        </w:rPr>
        <w:t xml:space="preserve">” means each of the documents and agreements entered into in connection with any Permitted Securitization Facility, including all documents and agreements relating to the issuance, funding and/or purchase of certificates and purchased interests, the incurrence of loans or other indebtedness, the issuance of notes, certificates or other evidence of indebtedness, and the servicing of the related Permitted Securitization Facility Assets, as applicable, all of which documents and agreements shall be delivered on or promptly after the closing thereof to the Administrative Agent, in each case as such documents and agreements may be amended, modified, supplemented, refinanced or replaced from time to time so long as any such amendments, modifications, supplements, refinancings or replacements are not adverse in any material respect to the interests of the Lenders unless otherwise consented to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covenants,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7" w:lineRule="auto"/>
        <w:rPr>
          <w:sz w:val="20"/>
          <w:szCs w:val="20"/>
          <w:color w:val="auto"/>
        </w:rPr>
      </w:pPr>
      <w:r>
        <w:rPr>
          <w:rFonts w:ascii="Times New Roman" w:cs="Times New Roman" w:eastAsia="Times New Roman" w:hAnsi="Times New Roman"/>
          <w:sz w:val="22"/>
          <w:szCs w:val="22"/>
          <w:color w:val="auto"/>
        </w:rPr>
        <w:t>terms and conditions of any Permitted Securitization Facility Document shall not apply to or be recourse to the Company or any Restricted Subsidiary (other than a Securitization SPE) (whether by Guarantee, security or otherwise) other than pursuant to Standard Securitization Undertakings.</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Securitization Fees</w:t>
      </w:r>
      <w:r>
        <w:rPr>
          <w:rFonts w:ascii="Times New Roman" w:cs="Times New Roman" w:eastAsia="Times New Roman" w:hAnsi="Times New Roman"/>
          <w:sz w:val="22"/>
          <w:szCs w:val="22"/>
          <w:color w:val="auto"/>
        </w:rPr>
        <w:t>” means distributions and payments made directly by a Securitization SPE pursuant to any Permitted Securitization Facility Documents (or indirectly by a Securitization Seller by means of customary discount with respect to any Permitted Securitization Facility Assets transferred, contributed, assigned and/or pledged to a Securitization SPE pursuant to a Permitted Securitization Facility), and any other fees and expenses paid by a Securitization SPE or a Securitization Seller to a Person (including fees and expenses of counsel) in connection with a Permitted Securitization Facility pursuant to the Permitted Securitization Facility Documents in respect thereof.</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means 29 CFR § 2510.3-101 et seq., as modified by Section 3(42) of ERISA, as amended from time to time.</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u w:val="single" w:color="auto"/>
          <w:color w:val="auto"/>
        </w:rPr>
        <w:t>pro forma</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pro forma effect</w:t>
      </w:r>
      <w:r>
        <w:rPr>
          <w:rFonts w:ascii="Times New Roman" w:cs="Times New Roman" w:eastAsia="Times New Roman" w:hAnsi="Times New Roman"/>
          <w:sz w:val="22"/>
          <w:szCs w:val="22"/>
          <w:color w:val="auto"/>
        </w:rPr>
        <w:t xml:space="preserve">” means, with respect to any determination for any period and any Pro Forma Transaction, that such determination shall be made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Transaction</w:t>
      </w:r>
      <w:r>
        <w:rPr>
          <w:rFonts w:ascii="Times New Roman" w:cs="Times New Roman" w:eastAsia="Times New Roman" w:hAnsi="Times New Roman"/>
          <w:sz w:val="22"/>
          <w:szCs w:val="22"/>
          <w:color w:val="auto"/>
        </w:rPr>
        <w:t xml:space="preserve">” means (a) any Permitted Acquisition or similar Investment, (b) any Disposition of all or substantially all of the assets or Equity Interests of any Restricted Subsidiary of the Company or the Disposition of any business unit, line of business or division of the Company or any Restricted Subsidiary of the Company, (c) to the extent required to be given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other than by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any incurrence or repayment of Indebtedness (other than normal fluctuations in revolving Indebtedness incurred for working capital purposes), and/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or (d) any other transaction or event that by the terms of the Loan Documents specifies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a condition, test or covenant hereunder or requires any condition, test, covenant or other transaction or event to be calculated on a Pro Forma Basis,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or similar variation, in each case together with each other transaction relating or incidental thereto and consummated in connection therewith.</w:t>
      </w:r>
    </w:p>
    <w:p>
      <w:pPr>
        <w:spacing w:after="0" w:line="1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Company Costs</w:t>
      </w:r>
      <w:r>
        <w:rPr>
          <w:rFonts w:ascii="Times New Roman" w:cs="Times New Roman" w:eastAsia="Times New Roman" w:hAnsi="Times New Roman"/>
          <w:sz w:val="21"/>
          <w:szCs w:val="21"/>
          <w:color w:val="auto"/>
        </w:rPr>
        <w:t>” means (i) Charges associated with, or in anticipation of, or preparation for (A) any initial public offering (or any initial public offering proposed and not consummated) of any Holdco Entity and (B) compliance with the requirements of the Sarbanes-Oxley Act of 2002 and the rules and regulations promulgated in connection therewith, and (ii) Charges relating to compliance with the provisions of the Securities Act and the Exchange Act (and any similar Requirements of Law under any other applicable jurisdiction), as applicable to companies with equity or debt securities held by the public, the rules of national securities exchanges applicable to companies with listed equity or debt securities, directors’, managers’ and/or employees’ compensation or other costs to the extent attributable to being a public company, officer and director fee and expense reimbursement to the extent attributable to being a public company, Charges relating to investor relations, shareholder meetings and reports to shareholders or debtholders associated with being a public company, directors’ and officers’ insurance and other legal and other professional fees, listing fees and other costs and/or expenses associated with being a public company.</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Charitable Organization</w:t>
      </w:r>
      <w:r>
        <w:rPr>
          <w:rFonts w:ascii="Times New Roman" w:cs="Times New Roman" w:eastAsia="Times New Roman" w:hAnsi="Times New Roman"/>
          <w:sz w:val="22"/>
          <w:szCs w:val="22"/>
          <w:color w:val="auto"/>
        </w:rPr>
        <w:t>” means, with respect to any Hagerty Family Member, a charitable organization that</w:t>
      </w:r>
    </w:p>
    <w:p>
      <w:pPr>
        <w:spacing w:after="0" w:line="28" w:lineRule="exact"/>
        <w:rPr>
          <w:sz w:val="20"/>
          <w:szCs w:val="20"/>
          <w:color w:val="auto"/>
        </w:rPr>
      </w:pPr>
    </w:p>
    <w:p>
      <w:pPr>
        <w:jc w:val="both"/>
        <w:ind w:firstLine="8"/>
        <w:spacing w:after="0" w:line="252" w:lineRule="auto"/>
        <w:tabs>
          <w:tab w:leader="none" w:pos="3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existence as an organization or trust, gifts to which qualify for federal tax charitable deductions under all of Section 170(c) and 2055(a) of the Code and (b) to which such Hagerty Family Member transfers shares of the Company or for the sole benefit of which such Hagerty Family Member transfers shares of the Company into a trust.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Equity Interests that are not Disqualified Equity Interests.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Ratio Debt</w:t>
      </w:r>
      <w:r>
        <w:rPr>
          <w:rFonts w:ascii="Times New Roman" w:cs="Times New Roman" w:eastAsia="Times New Roman" w:hAnsi="Times New Roman"/>
          <w:sz w:val="22"/>
          <w:szCs w:val="22"/>
          <w:color w:val="auto"/>
        </w:rPr>
        <w:t>” means any unsecured Indebtedness incurred or assumed in reliance on Section 6.01(w).</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as applicable, (a) the Administrative Agent, (b) any Lender and (c) any Issuing Bank, or any combination thereof (as the context requires).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Date</w:t>
      </w:r>
      <w:r>
        <w:rPr>
          <w:rFonts w:ascii="Times New Roman" w:cs="Times New Roman" w:eastAsia="Times New Roman" w:hAnsi="Times New Roman"/>
          <w:sz w:val="22"/>
          <w:szCs w:val="22"/>
          <w:color w:val="auto"/>
        </w:rPr>
        <w:t>” has the meaning specified in the definition of “Available Amount.”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the RFR for such Benchmark is SONIA, then four RFR Business Days prior to such setting, (5) if the RFR for such Benchmark is Daily Simple SOFR, then four RFR Business Days prior to such setting or (6) if such Benchmark is none of the Term SOFR Rate, Daily Simple SOFR, the EURIBOR Rate or SONIA, the time determined by the Administrative Agent in its reasonable discretion.</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Refinanced Indebtedness</w:t>
      </w:r>
      <w:r>
        <w:rPr>
          <w:rFonts w:ascii="Times New Roman" w:cs="Times New Roman" w:eastAsia="Times New Roman" w:hAnsi="Times New Roman"/>
          <w:sz w:val="22"/>
          <w:szCs w:val="22"/>
          <w:color w:val="auto"/>
        </w:rPr>
        <w:t>” means the applicable Indebtedness being exchanged, extended, renewed, replaced, redeemed, repurchased, defeased, restructured, repaid or refunded by Refinancing Indebtedness.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means Indebtedness issued, incurred or otherwise obtained in exchange for, or to extend, renew, replace, redeem, repurchase, defease, restructuring, repay or refund (including by entering into alternative financing arrangements in respect of such exchange or replacement (in whole or in part), either by adding or replacing lenders, creditors, agents, borrowers and/or guarantors, or after the original instrument giving rise to such Indebtedness has been terminated and including, by entering into any new credit agreement, loan agreement, note purchase agreement, indenture or other agreement) any Refinanced Indebtedness, or the net proceeds of which are incurred for the purpose of extending, refinancing, renewing, replacing, redeeming, repurchasing, defeasing, restructuring, repaying or refunding such Refinanced Indebtedness (or amending or modifying such Refinanced Indebtedness to effectuate any of the foregoing).</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 Requirements</w:t>
      </w:r>
      <w:r>
        <w:rPr>
          <w:rFonts w:ascii="Times New Roman" w:cs="Times New Roman" w:eastAsia="Times New Roman" w:hAnsi="Times New Roman"/>
          <w:sz w:val="22"/>
          <w:szCs w:val="22"/>
          <w:color w:val="auto"/>
        </w:rPr>
        <w:t>” means, with respect to any Refinancing Indebtedness, the following requirements:</w:t>
      </w:r>
    </w:p>
    <w:p>
      <w:pPr>
        <w:spacing w:after="0" w:line="117" w:lineRule="exact"/>
        <w:rPr>
          <w:sz w:val="20"/>
          <w:szCs w:val="20"/>
          <w:color w:val="auto"/>
        </w:rPr>
      </w:pPr>
    </w:p>
    <w:p>
      <w:pPr>
        <w:jc w:val="both"/>
        <w:ind w:firstLine="656"/>
        <w:spacing w:after="0" w:line="213" w:lineRule="auto"/>
        <w:tabs>
          <w:tab w:leader="none" w:pos="129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Refinancing Indebtedness is in an original aggregate principal amount not greater than the aggregate principal amount of the Refinanced Indebtedness except by an amount equal to unpaid accrued interest and premium (including tender premium), make-whole amounts or penalties thereon, defeasance costs, underwriting discounts and other reasonable amounts paid and fees, commissions and expenses (including upfront fees, original issue discount and initial yield payments) incurred in connection with the incurrence of such Refinancing Indebtedness and an amount equal to any existing commitments unutilized under such Refinanced Indebtedness and any additional Indebtedness concurrently with such Refinancing Indebtedness pursuant to a separate exception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have (i) pricing (including interest, fees and premiums), optional prepayment and redemption terms as may be agreed to by the Company and the lenders party thereto, (ii) subordination terms (if any) no less favorable in any material respect to the obligor thereunder than the subordination terms applicable to the original Indebtedness and (iii) terms and conditions that are not materially more restrictive (taken as a whole) to the obligors thereunder than the original terms and conditions of such Refinanced Indebtedness (unless, substantially concurrently with the incurrence of such Indebtedness, the Administrative Agent is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offered the opportunity to amend this Agreement in a manner reasonably satisfactory to the Company and the Administrative Agent to include such more restrictive terms for the benefit of all Commitments and Loans then outstanding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Loan Parties agree to execute any amendments or other modifications of the Loan Documents reasonably necessary to effectuate the foregoing);</w:t>
      </w:r>
    </w:p>
    <w:p>
      <w:pPr>
        <w:spacing w:after="0" w:line="152" w:lineRule="exact"/>
        <w:rPr>
          <w:sz w:val="20"/>
          <w:szCs w:val="20"/>
          <w:color w:val="auto"/>
        </w:rPr>
      </w:pPr>
    </w:p>
    <w:p>
      <w:pPr>
        <w:jc w:val="both"/>
        <w:ind w:firstLine="656"/>
        <w:spacing w:after="0" w:line="225"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Liens securing such Refinancing Indebtedness are not extended to any additional property of any Loan Party or any Restricted Subsidiary (other than property subject to the Liens being refinanced or as permitted under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(and improvements thereon and the proceeds and products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Loan Party or any Restricted Subsidiary that is not originally obligated with respect to repayment of such Refinanced Indebtedness is required to become obligated with respect to such Refinancing Indebtedness, except to the extent otherwise permitted under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Refinanced Indebtedness shall be repaid, defeased or satisfied and discharged, and all accrued interest, fees and premiums (if any) in connection therewith shall be paid, on the date such Refinancing Indebtedness is issued, incurred or obtained;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incurrence of the Refinanced Indebtedness was subject to the Specified Debt Conditions, such Refinancing Indebtedness shall be subject to, and shall satisfy, the same Specified Debt Conditions originally applicable to such Refinanced Indebtedness.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AB</w:t>
      </w:r>
      <w:r>
        <w:rPr>
          <w:rFonts w:ascii="Times New Roman" w:cs="Times New Roman" w:eastAsia="Times New Roman" w:hAnsi="Times New Roman"/>
          <w:sz w:val="22"/>
          <w:szCs w:val="22"/>
          <w:color w:val="auto"/>
        </w:rPr>
        <w:t>” shall mean Subpart 229.1100 — Asset Backed Securities (Regulation AB), 17 C.F.R. §§229.1100-229.1125, as such may be amended from time to time, and subject to such clarification and interpretation as have been provided by the Securities and Exchange Commission in the adopting release (Asset-Backed Securities, Securities Act Release No. 33-8518, 70 Fed. Reg. 1,506, 1,531 (Jan. 7, 2005)) that are in effect on any specific date by the staff of the Securities and Exchange Commission, or as may be provided by the Securities and Exchange Commission or its staff from time to time.</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Federal Reserve Board, as in effect from time to time and all official rulings and interpretations thereunder or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RR</w:t>
      </w:r>
      <w:r>
        <w:rPr>
          <w:rFonts w:ascii="Times New Roman" w:cs="Times New Roman" w:eastAsia="Times New Roman" w:hAnsi="Times New Roman"/>
          <w:sz w:val="22"/>
          <w:szCs w:val="22"/>
          <w:color w:val="auto"/>
        </w:rPr>
        <w:t>” shall mean Regulation RR under the Exchange Act, codified at 17 C.F.R. Part 246.</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T</w:t>
      </w:r>
      <w:r>
        <w:rPr>
          <w:rFonts w:ascii="Times New Roman" w:cs="Times New Roman" w:eastAsia="Times New Roman" w:hAnsi="Times New Roman"/>
          <w:sz w:val="22"/>
          <w:szCs w:val="22"/>
          <w:color w:val="auto"/>
        </w:rPr>
        <w:t>” means Regulation T of the Federal Reserve Board, as in effect from time to time and all official rulings and interpretations thereunder or thereof.</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means Regulation U of the Federal Reserve Board, as in effect from time to time and all official rulings and interpretations thereunder or thereof.</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means Regulation X of the Federal Reserve Board, as in effect from time to time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43" w:name="page144"/>
    <w:bookmarkEnd w:id="14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Reinsurance Loan Documents</w:t>
      </w:r>
      <w:r>
        <w:rPr>
          <w:rFonts w:ascii="Times New Roman" w:cs="Times New Roman" w:eastAsia="Times New Roman" w:hAnsi="Times New Roman"/>
          <w:sz w:val="22"/>
          <w:szCs w:val="22"/>
          <w:color w:val="auto"/>
        </w:rPr>
        <w:t xml:space="preserve">” means the agreements and documents evidencing (a) a financing by State Farm and any other lenders from time to time party thereto or (b) any one or more other pari passu financings (with respect to the financing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by any other lender or group of lenders, in each case to the Reinsurance Subsidiary and any subsidiary guarantors from time to time party thereto, as any such agreements and documents may be amended, restated, amended and restated, supplemented or otherwise modified from time to time, provided that such agreements and documents shall be on the terms in all material respects as set forth in that certain Credit Agreement, dated as of September 19, 2023, by and among the Reinsurance Subsidiary, State Farm, and the lenders from time to time party thereto (as in effect on the Effective Date), and shall not have any cross default (or similar term) to a Default under this Agreement.</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Reinsurance Subsidiary</w:t>
      </w:r>
      <w:r>
        <w:rPr>
          <w:rFonts w:ascii="Times New Roman" w:cs="Times New Roman" w:eastAsia="Times New Roman" w:hAnsi="Times New Roman"/>
          <w:sz w:val="22"/>
          <w:szCs w:val="22"/>
          <w:color w:val="auto"/>
        </w:rPr>
        <w:t>” means Hagerty Reinsurance Limited, a Bermuda Class 3A Reinsurance Company and a Wholly-Owned Subsidiary of the Company, together with its Restricted Subsidiaries.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releasing, spilling, leaking, pumping, pouring, emitting, emptying, discharging, injecting, escaping, leaching, migrating, disposing, or dumping of any Hazardous Material into the environment.</w:t>
      </w:r>
    </w:p>
    <w:p>
      <w:pPr>
        <w:spacing w:after="0" w:line="14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Rate</w:t>
      </w:r>
      <w:r>
        <w:rPr>
          <w:rFonts w:ascii="Times New Roman" w:cs="Times New Roman" w:eastAsia="Times New Roman" w:hAnsi="Times New Roman"/>
          <w:sz w:val="21"/>
          <w:szCs w:val="21"/>
          <w:color w:val="auto"/>
        </w:rPr>
        <w:t>” means (i) with respect to any Term Benchmark Borrowing denominated in Dollars, the Term SOFR Rate,</w:t>
      </w:r>
    </w:p>
    <w:p>
      <w:pPr>
        <w:spacing w:after="0" w:line="39" w:lineRule="exact"/>
        <w:rPr>
          <w:sz w:val="20"/>
          <w:szCs w:val="20"/>
          <w:color w:val="auto"/>
        </w:rPr>
      </w:pPr>
    </w:p>
    <w:p>
      <w:pPr>
        <w:ind w:firstLine="8"/>
        <w:spacing w:after="0" w:line="248" w:lineRule="auto"/>
        <w:tabs>
          <w:tab w:leader="none" w:pos="32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Term Benchmark Borrowing denominated in Euros, the Adjusted EURIBOR Rate, or (iii) with respect to any RFR Borrowing denominated in Sterling or Dollars, the applicable Daily Simple RFR, as applicable.</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Screen Rate</w:t>
      </w:r>
      <w:r>
        <w:rPr>
          <w:rFonts w:ascii="Times New Roman" w:cs="Times New Roman" w:eastAsia="Times New Roman" w:hAnsi="Times New Roman"/>
          <w:sz w:val="22"/>
          <w:szCs w:val="22"/>
          <w:color w:val="auto"/>
        </w:rPr>
        <w:t>” means (i) with respect to any Term Benchmark Borrowing denominated in Dollars, the Term SOFR Reference Rate, or (ii) with respect to any Term Benchmark Borrowing denominated in Euros, the EURIBOR Screen Rate, as applicable.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means reports prepared by the Administrative Agent or another Person showing the results of appraisals, field examinations or audits pertaining to the Company’s assets from information furnished by or on behalf of the Company, after the Administrative Agent has exercised its rights of inspection pursuant to this Agreement, which Reports may be distributed to the Lenders by the Administrative Agent subject to the terms of this Agreement.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having Revolving Exposure and unused Commitments representing more than 50% of the sum of the total Revolving Exposure and unused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there are two or more Lenders (with any Lenders that are Affiliates constituting one Lender for purposes of this definition) Required Lenders shall also require at least two Lenders.</w:t>
      </w:r>
    </w:p>
    <w:p>
      <w:pPr>
        <w:spacing w:after="0" w:line="19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means, as to any Person, any law, treaty, rule or regulation or determination of an arbitrator or a court or other Governmental Authority (including any Insurance Regulatory Authority), in each case applicable to or binding upon such Person or any of its property or to which such Person or any of its property is subject.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with respect to any EEA Financial Institution, an EEA Resolution Authority or, with respect to any UK Financial Institution, a UK Resolution Authority.</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Interests (including any option, warrant or other right to acquire any such Equity Interests in the Company) in the Company or any Restricted Subsidiary, or any payment (whether in cash, securities or other property), including any sinking fund or similar deposit, on account of the purchase, redemption, retirement, acquisition, cancellation or termination of any such Equity Interests.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at any time, any Subsidiary other than an Unrestricted Subsidiary.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w:t>
      </w:r>
      <w:r>
        <w:rPr>
          <w:rFonts w:ascii="Times New Roman" w:cs="Times New Roman" w:eastAsia="Times New Roman" w:hAnsi="Times New Roman"/>
          <w:sz w:val="22"/>
          <w:szCs w:val="22"/>
          <w:color w:val="auto"/>
        </w:rPr>
        <w:t>” means, with respect to any Investment, any dividend, distribution, interest, fee, premium, return of capital, repayment of principal, income, profit (from a Disposition or otherwise) and any other amount received or realized in respect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means, as applicable, Thomson Reuters Corp., Refinitiv,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Revaluation Date</w:t>
      </w:r>
      <w:r>
        <w:rPr>
          <w:rFonts w:ascii="Times New Roman" w:cs="Times New Roman" w:eastAsia="Times New Roman" w:hAnsi="Times New Roman"/>
          <w:sz w:val="21"/>
          <w:szCs w:val="21"/>
          <w:color w:val="auto"/>
        </w:rPr>
        <w:t>” means (a) with respect to any Loan denominated in any Alternative Currency, each of the following:</w:t>
      </w:r>
    </w:p>
    <w:p>
      <w:pPr>
        <w:spacing w:after="0" w:line="39" w:lineRule="exact"/>
        <w:rPr>
          <w:sz w:val="20"/>
          <w:szCs w:val="20"/>
          <w:color w:val="auto"/>
        </w:rPr>
      </w:pPr>
    </w:p>
    <w:p>
      <w:pPr>
        <w:jc w:val="both"/>
        <w:ind w:firstLine="8"/>
        <w:spacing w:after="0" w:line="247" w:lineRule="auto"/>
        <w:tabs>
          <w:tab w:leader="none" w:pos="26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(iii) the date of any amendment of such Letter of Credit that has the effect of increasing the face amount thereof and (iv) the date of reimbursement of any LC Disbursement in respect thereof to the extent such reimbursement is made in Dollars as provided under Section 2.06; and (c) any additional date as the Administrative Agent or the Issuing Bank, as applicable, may determine at any time when an Event of Default exists.</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or increased from time to time pursuant to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(b) increased from time to time pursuant to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xml:space="preserve">, (c) reduced or increased from time to time as set forth on the Commitment Schedule and (d)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The initial amount of each Lender’s Revolving Commitment is set forth on the Commitment Schedule, or in the Assignment and Assumption (or other documentation or record) pursuant to which such Lender shall have assumed its Revolving Commitment, as applicable. The aggregate amount of the Lenders’ Revolving Commitments as of the Effective Date is $375,000,000.</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Loan Extension Request</w:t>
      </w:r>
      <w:r>
        <w:rPr>
          <w:rFonts w:ascii="Times New Roman" w:cs="Times New Roman" w:eastAsia="Times New Roman" w:hAnsi="Times New Roman"/>
          <w:sz w:val="22"/>
          <w:szCs w:val="22"/>
          <w:color w:val="auto"/>
        </w:rPr>
        <w:t>” shall have the meaning provided in Section 2.23.</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Maturity Date</w:t>
      </w:r>
      <w:r>
        <w:rPr>
          <w:rFonts w:ascii="Times New Roman" w:cs="Times New Roman" w:eastAsia="Times New Roman" w:hAnsi="Times New Roman"/>
          <w:sz w:val="22"/>
          <w:szCs w:val="22"/>
          <w:color w:val="auto"/>
        </w:rPr>
        <w:t>” means the earlier of (a) the date on which the Revolving Commitments are reduced to zero or otherwise terminated pursuant to the terms hereof or (b) the date that is five (5) years after the Effective Date.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Exposure</w:t>
      </w:r>
      <w:r>
        <w:rPr>
          <w:rFonts w:ascii="Times New Roman" w:cs="Times New Roman" w:eastAsia="Times New Roman" w:hAnsi="Times New Roman"/>
          <w:sz w:val="22"/>
          <w:szCs w:val="22"/>
          <w:color w:val="auto"/>
        </w:rPr>
        <w:t>” means, with respect to any Lender at any time, the sum of the Dollar Equivalent of the aggregate outstanding principal amount of such Lender’s Revolving Loans and its LC Exposure and Swingline Exposure at such time.</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as of any date of determination, a Lender with a Revolving Commitment or, if the Revolving Commitments have terminated or expired, a Lender with Revolving Exposure.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w:t>
      </w:r>
      <w:r>
        <w:rPr>
          <w:rFonts w:ascii="Times New Roman" w:cs="Times New Roman" w:eastAsia="Times New Roman" w:hAnsi="Times New Roman"/>
          <w:sz w:val="22"/>
          <w:szCs w:val="22"/>
          <w:color w:val="auto"/>
        </w:rPr>
        <w:t>” means, for any RFR Loan denominated in (a) Sterling, SONIA, and (b) Dollars, Daily Simple SOFR.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Borrowing</w:t>
      </w:r>
      <w:r>
        <w:rPr>
          <w:rFonts w:ascii="Times New Roman" w:cs="Times New Roman" w:eastAsia="Times New Roman" w:hAnsi="Times New Roman"/>
          <w:sz w:val="22"/>
          <w:szCs w:val="22"/>
          <w:color w:val="auto"/>
        </w:rPr>
        <w:t>” means, as to any Borrowing, the RFR Loans comprising such Borrowing.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Business Day</w:t>
      </w:r>
      <w:r>
        <w:rPr>
          <w:rFonts w:ascii="Times New Roman" w:cs="Times New Roman" w:eastAsia="Times New Roman" w:hAnsi="Times New Roman"/>
          <w:sz w:val="21"/>
          <w:szCs w:val="21"/>
          <w:color w:val="auto"/>
        </w:rPr>
        <w:t>” means, for any Loan denominated in (a) Sterling, any day except for (i) a Saturday, (ii) a Sunday or</w:t>
      </w:r>
    </w:p>
    <w:p>
      <w:pPr>
        <w:spacing w:after="0" w:line="41" w:lineRule="exact"/>
        <w:rPr>
          <w:sz w:val="20"/>
          <w:szCs w:val="20"/>
          <w:color w:val="auto"/>
        </w:rPr>
      </w:pPr>
    </w:p>
    <w:p>
      <w:pPr>
        <w:ind w:firstLine="8"/>
        <w:spacing w:after="0" w:line="259" w:lineRule="auto"/>
        <w:tabs>
          <w:tab w:leader="none" w:pos="39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day on which banks are closed for general business in London, and (b) Dollars, a U.S. Government Securities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Interest Day</w:t>
      </w:r>
      <w:r>
        <w:rPr>
          <w:rFonts w:ascii="Times New Roman" w:cs="Times New Roman" w:eastAsia="Times New Roman" w:hAnsi="Times New Roman"/>
          <w:sz w:val="22"/>
          <w:szCs w:val="22"/>
          <w:color w:val="auto"/>
        </w:rPr>
        <w:t>” has the meaning specified in the definition of “Daily Simple RFR”.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Loan</w:t>
      </w:r>
      <w:r>
        <w:rPr>
          <w:rFonts w:ascii="Times New Roman" w:cs="Times New Roman" w:eastAsia="Times New Roman" w:hAnsi="Times New Roman"/>
          <w:sz w:val="22"/>
          <w:szCs w:val="22"/>
          <w:color w:val="auto"/>
        </w:rPr>
        <w:t>” means a Loan that bears interest at a rate based on the Daily Simple RFR.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Standard &amp; Poor’s Financial Services LLC business.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the subject or target of any Sanctions (as of the Effective Date, the so - called Donetsk People’s Republic, the so- called Luhansk People’s Republic, the Crimea Region of Ukraine, Cuba, Iran, North Korea and Syria).</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any Person subject to or the target of any Sanctions, including (a) any Person listed in any Sanctions-related list of designated Persons maintained by the U.S. government, including by OFAC, the U.S. Department of State or the U.S. Department of Commerce, or by the United Nations Security Council, the European Union, any European Union member state, His Majesty’s Treasury of the United Kingdom, the government of Canada or other relevant sanctions authority, (b) any Person located, operating, organized or resident in a Sanctioned Country,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 or (d) any Person otherwise the subject of any Sanctions.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trade embargoes or similar restrictions imposed, administered or enforced from time to time by (a) the U.S. government, including those administered by OFAC, the U.S. Department of State or the U.S. Department of Commerce, or (b) to the extent applicable, the United Nations Security Council, the European Union, any European Union member state, His Majesty’s Treasury of the United Kingdom, the government of Canada or other relevant sanctions authority.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SAP</w:t>
      </w:r>
      <w:r>
        <w:rPr>
          <w:rFonts w:ascii="Times New Roman" w:cs="Times New Roman" w:eastAsia="Times New Roman" w:hAnsi="Times New Roman"/>
          <w:sz w:val="22"/>
          <w:szCs w:val="22"/>
          <w:color w:val="auto"/>
        </w:rPr>
        <w:t>” means, with respect to any Insurance Subsidiary, the statutory accounting practices prescribed or permitted by the relevant Insurance Regulatory Authority of its jurisdiction of domicile, consistently applied and maintained and in conformity with those used in the preparation of the most recent statutory financial statements filed by such Insurance Subsidiary in its jurisdiction of domicile.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of the U.S.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Sellers</w:t>
      </w:r>
      <w:r>
        <w:rPr>
          <w:rFonts w:ascii="Times New Roman" w:cs="Times New Roman" w:eastAsia="Times New Roman" w:hAnsi="Times New Roman"/>
          <w:sz w:val="22"/>
          <w:szCs w:val="22"/>
          <w:color w:val="auto"/>
        </w:rPr>
        <w:t>” means the Company and those Restricted Subsidiaries (other than any Securitization SPE) that are from time to time party to Permitted Securitization Facility Documents, including any such Person who may sell, transfer, contribute, assign and/or pledge Permitted Securitization Facility Assets (either directly or through another Securitization Seller) to one or more Securitization SPEs pursuant to a Permitted Securitization Facility.</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SPE</w:t>
      </w:r>
      <w:r>
        <w:rPr>
          <w:rFonts w:ascii="Times New Roman" w:cs="Times New Roman" w:eastAsia="Times New Roman" w:hAnsi="Times New Roman"/>
          <w:sz w:val="22"/>
          <w:szCs w:val="22"/>
          <w:color w:val="auto"/>
        </w:rPr>
        <w:t xml:space="preserve">” means a Wholly-Owned Subsidiary of the Company which engages in no activities other than in connection with accepting assignment of, purchasing, selling and/or contributing Permitted Securitization Facility Assets and/or the financing of Permitted Securitization Facility Assets of the Securitization Sellers and other activities reasonably related thereto, in each case, pursuant to a Permitted Securitization Facility, which Wholly-Owned Subsidiary is designated (as provided below) as a “Securitization SPE”;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 portion of the Indebtedness or any other obligations (contingent or otherwise) of any Securitization SPE may be recourse to or otherwise obligate the Company or any Restricted Subsidiary (other than a Securitization SPE) in any way (whether by Guarantee, security or otherwise) other than pursuant to Standard Securitization Undertakings, (b) neither the Company nor any of its Restricted Subsidiaries (other than a Securitization SPE) may have any contract, agreement, arrangement or understanding (other than pursuant to the Permitted Securitization Facility Documents (including with respect to fees payable in the ordinary course of business in connection with the servicing of Permitted Securitization Facility Assets)) at prices and on terms and conditions not less favorable to the Company or such Restricted Subsidiary than could be obtained on an arm’s-length basis from unrelated third parties and (c) in no event may any Loan Party be designated as a Securitization SPE. Any such designation shall be evidenced to the Administrative Agent by delivering to the Administrative Agent an officer’s certificate of the Company certifying that, to such officer’s knowledge, such designation complied with the foregoing conditions.</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NYFRB (or a successor administrator of the secured overnight financing rate).</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currently at http://www.newyorkfed.org, or any successor source for the secured overnight financing rate identified as such by the SOFR Administrator from time to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has the meaning specified in the definition of “Daily Simple SOFR”.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specified in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8" w:name="page149"/>
    <w:bookmarkEnd w:id="14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w:t>
      </w:r>
      <w:r>
        <w:rPr>
          <w:rFonts w:ascii="Times New Roman" w:cs="Times New Roman" w:eastAsia="Times New Roman" w:hAnsi="Times New Roman"/>
          <w:sz w:val="22"/>
          <w:szCs w:val="22"/>
          <w:color w:val="auto"/>
        </w:rPr>
        <w:t>” means the Bank of England (or any successor administrator of the Sterling Overnight Index Average).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Administrator’s Website</w:t>
      </w:r>
      <w:r>
        <w:rPr>
          <w:rFonts w:ascii="Times New Roman" w:cs="Times New Roman" w:eastAsia="Times New Roman" w:hAnsi="Times New Roman"/>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Debt Conditions</w:t>
      </w:r>
      <w:r>
        <w:rPr>
          <w:rFonts w:ascii="Times New Roman" w:cs="Times New Roman" w:eastAsia="Times New Roman" w:hAnsi="Times New Roman"/>
          <w:sz w:val="22"/>
          <w:szCs w:val="22"/>
          <w:color w:val="auto"/>
        </w:rPr>
        <w:t>” means, with respect to any Indebtedness or commitment that is unsecured (any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Indebtedness or commitment, “</w:t>
      </w:r>
      <w:r>
        <w:rPr>
          <w:rFonts w:ascii="Times New Roman" w:cs="Times New Roman" w:eastAsia="Times New Roman" w:hAnsi="Times New Roman"/>
          <w:sz w:val="22"/>
          <w:szCs w:val="22"/>
          <w:u w:val="single" w:color="auto"/>
          <w:color w:val="auto"/>
        </w:rPr>
        <w:t>Other Debt</w:t>
      </w:r>
      <w:r>
        <w:rPr>
          <w:rFonts w:ascii="Times New Roman" w:cs="Times New Roman" w:eastAsia="Times New Roman" w:hAnsi="Times New Roman"/>
          <w:sz w:val="22"/>
          <w:szCs w:val="22"/>
          <w:color w:val="auto"/>
        </w:rPr>
        <w:t>”), the following conditions:</w:t>
      </w:r>
    </w:p>
    <w:p>
      <w:pPr>
        <w:spacing w:after="0" w:line="169" w:lineRule="exact"/>
        <w:rPr>
          <w:sz w:val="20"/>
          <w:szCs w:val="20"/>
          <w:color w:val="auto"/>
        </w:rPr>
      </w:pPr>
    </w:p>
    <w:p>
      <w:pPr>
        <w:ind w:firstLine="656"/>
        <w:spacing w:after="0" w:line="236"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Debt shall have a final maturity not sooner than the latest Maturity Date hereunder, as determined at the time of issuance or incurrence of such Other Debt;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incurrence of such Other Debt, such Other Debt shall have a Weighted Average Life to Maturity no shorter than the remaining Weighted Average Life to Maturity of any Incremental Term Loans funded hereunder (if any) prior to the date of such incurrence of Other Debt;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such Other Debt shall be issued or incurred only when no Event of Default exists or would result from the issuance or incurrence of such Indebtedness;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Debt is not incurred or guaranteed by any Person other than any Loan Party;</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subordinated in right of payment, such Other Debt shall be subject to and permitted under a Subordination Agreement; and</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Other Debt shall contain terms that are not more restrictive, taken as a whole, than the terms of this Agreement and the other Loan Documents (as reasonably determined by the Company and the Administrative Agent), except as expressly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such Other Debt may have the benefit of terms and conditions (including financial covenants) that are more restrictive than those applicable to the Loans and Commitments outstanding hereunder at the time of incurrence of such Other Debt so long as, substantially concurrently with the incurrence of such Other Debt, the Administrative Agent is offered the opportunity to amend this Agreement in a manner reasonably satisfactory to the Company and the Administrative Agent to include such more restrictive terms for the benefit of all other Commitments and Loans then outstanding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Loan Parties agree to execute any amendments or other modifications of the Loan Documents reasonably necessary to effectuate the foregoing.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xml:space="preserve">” means an event with respect to a Borrower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7.01</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with respect to any Permitted Securitization Facility, representations, warranties, covenants, asset repurchase obligations, servicing obligations and limited recourse performance undertakings and indemnities entered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47" w:lineRule="auto"/>
        <w:rPr>
          <w:sz w:val="20"/>
          <w:szCs w:val="20"/>
          <w:color w:val="auto"/>
        </w:rPr>
      </w:pPr>
      <w:r>
        <w:rPr>
          <w:rFonts w:ascii="Times New Roman" w:cs="Times New Roman" w:eastAsia="Times New Roman" w:hAnsi="Times New Roman"/>
          <w:sz w:val="22"/>
          <w:szCs w:val="22"/>
          <w:color w:val="auto"/>
        </w:rPr>
        <w:t>into by any Securitization Seller in connection with such Permitted Securitization Facility which are reasonably customary in similar asset securitization transactions, including but not limited to, (i) retention of credit risk required by the applicable laws of the United States (including Regulation RR, and by the laws of the European Union (including EU Securitization Regulation), and by the laws of the United Kingdom (including UK Securitization Regulation)), (ii) liabilities and disclosure and reporting obligations under applicable federal and state securities laws, including Regulation AB, (iii) payment of certain customary and reasonable fees and expenses of transaction parties pursuant to the terms of the Permitted Securitization Facility Documents, including but not limited to Permitted Securitization Fees, (iv) contributions of (A) Permitted Securitization Facility Assets or deemed capital contributions to any Securitization SPE to the extent required or made pursuant to Permitted Securitization Facility Documents or (B) cash to the extent necessary to keep such Securitization SPE properly capitalized to avoid insolvency or consolidation with a Loan Party, (v) any Swap Agreement permitted under Section 6.05 and entered into for the benefit of any Securitization SPE or Guarantees of any Swap Agreement obligations of any Securitization SPE, in each case, in respect of such Securitization SPE’s obligations under such Permitted Securitization Facility, and (vi) the pledge of Equity Interests in any Securitization SPE to secure obligations under such Permitted Securitization Facility.</w:t>
      </w:r>
    </w:p>
    <w:p>
      <w:pPr>
        <w:spacing w:after="0" w:line="19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 Farm</w:t>
      </w:r>
      <w:r>
        <w:rPr>
          <w:rFonts w:ascii="Times New Roman" w:cs="Times New Roman" w:eastAsia="Times New Roman" w:hAnsi="Times New Roman"/>
          <w:sz w:val="22"/>
          <w:szCs w:val="22"/>
          <w:color w:val="auto"/>
        </w:rPr>
        <w:t>” means State Farm Mutual Automobile Insurance Company, an Illinois-domiciled mutual insurance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2.17(g)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Reserve Rate</w:t>
      </w:r>
      <w:r>
        <w:rPr>
          <w:rFonts w:ascii="Times New Roman" w:cs="Times New Roman" w:eastAsia="Times New Roman" w:hAnsi="Times New Roman"/>
          <w:sz w:val="22"/>
          <w:szCs w:val="22"/>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Kingdom.</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any Indebtedness and other obligations of the Loan Parties the payment of which is subordinated to the payment of the Obligations.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 Documents</w:t>
      </w:r>
      <w:r>
        <w:rPr>
          <w:rFonts w:ascii="Times New Roman" w:cs="Times New Roman" w:eastAsia="Times New Roman" w:hAnsi="Times New Roman"/>
          <w:sz w:val="22"/>
          <w:szCs w:val="22"/>
          <w:color w:val="auto"/>
        </w:rPr>
        <w:t>” means any document, agreement or instrument evidencing any Subordinated Debt or entered into in connection with any Subordinated Debt (other than any Loan Document).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Agreements</w:t>
      </w:r>
      <w:r>
        <w:rPr>
          <w:rFonts w:ascii="Times New Roman" w:cs="Times New Roman" w:eastAsia="Times New Roman" w:hAnsi="Times New Roman"/>
          <w:sz w:val="22"/>
          <w:szCs w:val="22"/>
          <w:color w:val="auto"/>
        </w:rPr>
        <w:t>” means, collectively, all present and future subordination agreements between the Administrative Agent, the Loan Parties and the holders of any Subordinated Debt with respect to Subordinated Debt in form and substance reasonably satisfactory to the Required Lenders (it being understood and agreed that any form of subordination agreement that is substantially the same as the form attached as Exhibit F is reasonably satisfactory to the Required Lenders).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and/or one or more subsidiaries of the parent.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any direct or indirect subsidiary of the Company; provided that Permitted Joint Ventures shall not be considered Subsidiaries for purposes of this Agreement, except to the extent as contemplated under </w:t>
      </w:r>
      <w:r>
        <w:rPr>
          <w:rFonts w:ascii="Times New Roman" w:cs="Times New Roman" w:eastAsia="Times New Roman" w:hAnsi="Times New Roman"/>
          <w:sz w:val="22"/>
          <w:szCs w:val="22"/>
          <w:u w:val="single" w:color="auto"/>
          <w:color w:val="auto"/>
        </w:rPr>
        <w:t>clause (c)(iii)</w:t>
      </w:r>
      <w:r>
        <w:rPr>
          <w:rFonts w:ascii="Times New Roman" w:cs="Times New Roman" w:eastAsia="Times New Roman" w:hAnsi="Times New Roman"/>
          <w:sz w:val="22"/>
          <w:szCs w:val="22"/>
          <w:color w:val="auto"/>
        </w:rPr>
        <w:t xml:space="preserve"> of the definition of Consolidated EBITDA.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9.19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Agreement</w:t>
      </w:r>
      <w:r>
        <w:rPr>
          <w:rFonts w:ascii="Times New Roman" w:cs="Times New Roman" w:eastAsia="Times New Roman" w:hAnsi="Times New Roman"/>
          <w:sz w:val="22"/>
          <w:szCs w:val="22"/>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the Company or the Restricted Subsidiaries shall be a Swap Agreement.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Obligations</w:t>
      </w:r>
      <w:r>
        <w:rPr>
          <w:rFonts w:ascii="Times New Roman" w:cs="Times New Roman" w:eastAsia="Times New Roman" w:hAnsi="Times New Roman"/>
          <w:sz w:val="22"/>
          <w:szCs w:val="22"/>
          <w:color w:val="auto"/>
        </w:rPr>
        <w:t>” of a Person means any and all obligations of such Person,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of an Affiliate of a Lender (in each case, including any obligation to pay or perform under any agreement, contract or transaction that constitutes a “swap” within the meaning of section 1a(47) of the Commodity Exchange Act or any rules or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1" w:name="page152"/>
    <w:bookmarkEnd w:id="15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means JPMCB (or any of its designated branch offices or affiliates),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 as well.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TARGET2</w:t>
      </w:r>
      <w:r>
        <w:rPr>
          <w:rFonts w:ascii="Times New Roman" w:cs="Times New Roman" w:eastAsia="Times New Roman" w:hAnsi="Times New Roman"/>
          <w:sz w:val="22"/>
          <w:szCs w:val="22"/>
          <w:color w:val="auto"/>
        </w:rPr>
        <w:t>” means the Trans-European Automated Real-time Gross Settlement Express Transfer payment system which utilizes a single shared platform and which was launched on November 19, 2007.</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Distribution Amount</w:t>
      </w:r>
      <w:r>
        <w:rPr>
          <w:rFonts w:ascii="Times New Roman" w:cs="Times New Roman" w:eastAsia="Times New Roman" w:hAnsi="Times New Roman"/>
          <w:sz w:val="21"/>
          <w:szCs w:val="21"/>
          <w:color w:val="auto"/>
        </w:rPr>
        <w:t>” means (i) for any taxable period for which the Company is a pass-through entity for tax purposes, an amount, as determined in good faith by Company, equal to the aggregate federal, state, local, and non-U.S. income Taxes payable by direct or indirect holders of Equity Interests in the Company on the taxable income of the Company or any of its direct or indirect Restricted Subsidiaries and Unrestricted Subsidiaries, assuming the applicability of the highest marginal federal, state, local and non-U.S. income Tax rates, and payable as and when such tax liability is due and payable or (ii) for any taxable period for which the Company files a consolidated, combined, unitary or similar type tax return with any Holdco Entity, any aggregate federal, state, local and non-U.S. income Tax obligations payable by a Holdco Entity that is the parent of such consolidated, combined, unitary or similar tax group that includes the Company, to the extent attributable to the taxable income of the Company or any of its direct or indirect Restricted Subsidiaries and Unrestricted Subsidiaries, determined as if the Company and such Subsidiaries filed a consolidated, combined, unitary or similar return on a stand-alone basis.</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Receivable Agreement</w:t>
      </w:r>
      <w:r>
        <w:rPr>
          <w:rFonts w:ascii="Times New Roman" w:cs="Times New Roman" w:eastAsia="Times New Roman" w:hAnsi="Times New Roman"/>
          <w:sz w:val="22"/>
          <w:szCs w:val="22"/>
          <w:color w:val="auto"/>
        </w:rPr>
        <w:t>” means that certain Tax Receivable Agreement, dated as of December 2, 2021, by and among Hagerty, Inc., Hagerty Holding Corp. and Markel Group, Inc., as in effect on the Effective Date.</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Tax-Related Transaction</w:t>
      </w:r>
      <w:r>
        <w:rPr>
          <w:rFonts w:ascii="Times New Roman" w:cs="Times New Roman" w:eastAsia="Times New Roman" w:hAnsi="Times New Roman"/>
          <w:sz w:val="22"/>
          <w:szCs w:val="22"/>
          <w:color w:val="auto"/>
        </w:rPr>
        <w:t>” means any transaction in the ordinary course of business and consistent with past practice pursuant to which the Company or any of its Restricted Subsidiaries makes payments on account of the Tax liabilities of one or more of its Subsidiaries and is immediately reimbursed by each such Subsidiary to the extent the paid Tax liabilities are attributable to the income of such Subsidiary.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2" w:name="page153"/>
    <w:bookmarkEnd w:id="15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Benchmark</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Term SOFR Rate or the Adjusted EURIBOR Rate.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Determination Day</w:t>
      </w:r>
      <w:r>
        <w:rPr>
          <w:rFonts w:ascii="Times New Roman" w:cs="Times New Roman" w:eastAsia="Times New Roman" w:hAnsi="Times New Roman"/>
          <w:sz w:val="22"/>
          <w:szCs w:val="22"/>
          <w:color w:val="auto"/>
        </w:rPr>
        <w:t>” has the meaning assigned to it under the definition of Term SOFR Reference Rate.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w:t>
      </w:r>
      <w:r>
        <w:rPr>
          <w:rFonts w:ascii="Times New Roman" w:cs="Times New Roman" w:eastAsia="Times New Roman" w:hAnsi="Times New Roman"/>
          <w:sz w:val="22"/>
          <w:szCs w:val="22"/>
          <w:color w:val="auto"/>
        </w:rPr>
        <w:t>” means, with respect to any Term Benchmark Borrowing denominated in Dollars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provided that if the Term SOFR Rate as so determined would be less than the Floor, such rate shall be deemed to be equal to the Floor for the purposes of this Agreement.</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for any day and time (such day, the “</w:t>
      </w:r>
      <w:r>
        <w:rPr>
          <w:rFonts w:ascii="Times New Roman" w:cs="Times New Roman" w:eastAsia="Times New Roman" w:hAnsi="Times New Roman"/>
          <w:sz w:val="22"/>
          <w:szCs w:val="22"/>
          <w:u w:val="single" w:color="auto"/>
          <w:color w:val="auto"/>
        </w:rPr>
        <w:t>Term SOFR Determination Day</w:t>
      </w:r>
      <w:r>
        <w:rPr>
          <w:rFonts w:ascii="Times New Roman" w:cs="Times New Roman" w:eastAsia="Times New Roman" w:hAnsi="Times New Roman"/>
          <w:sz w:val="22"/>
          <w:szCs w:val="22"/>
          <w:color w:val="auto"/>
        </w:rPr>
        <w:t xml:space="preserve"> ”),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shall have the meaning assigned to it in </w:t>
      </w:r>
      <w:r>
        <w:rPr>
          <w:rFonts w:ascii="Times New Roman" w:cs="Times New Roman" w:eastAsia="Times New Roman" w:hAnsi="Times New Roman"/>
          <w:sz w:val="22"/>
          <w:szCs w:val="22"/>
          <w:u w:val="single" w:color="auto"/>
          <w:color w:val="auto"/>
        </w:rPr>
        <w:t>Section 9.04(e)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means all fees, premiums, expenses and other transaction costs incurred or payable by the Company or any other Restricted Subsidiary in connection with the transactions contemplated by this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Loan Parties of this Agreement and the other Loan Documents, as applicable, the borrowing of Loans and other credit extensions, the use of the proceeds thereof and the issuance of Letters of Credit hereunder.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3" w:name="page154"/>
    <w:bookmarkEnd w:id="15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Term SOFR Rate, the Adjusted EURIBOR Rate, the Alternate Base Rate, the Central Bank Rate or the Daily Simple RFR.</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Borrower</w:t>
      </w:r>
      <w:r>
        <w:rPr>
          <w:rFonts w:ascii="Times New Roman" w:cs="Times New Roman" w:eastAsia="Times New Roman" w:hAnsi="Times New Roman"/>
          <w:sz w:val="22"/>
          <w:szCs w:val="22"/>
          <w:color w:val="auto"/>
        </w:rPr>
        <w:t>” means any Borrower (i) that is organized or formed under the laws of the United Kingdom or (ii) payments from which under this Agreement or any other Loan Document are subject to withholding Taxes imposed by the laws of the United Kingdom.</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Securitization Regulation</w:t>
      </w:r>
      <w:r>
        <w:rPr>
          <w:rFonts w:ascii="Times New Roman" w:cs="Times New Roman" w:eastAsia="Times New Roman" w:hAnsi="Times New Roman"/>
          <w:sz w:val="22"/>
          <w:szCs w:val="22"/>
          <w:color w:val="auto"/>
        </w:rPr>
        <w:t>” means the EU Securitization Regulation (as in effect December 31, 2020) as it forms part of domestic law of the United Kingdom by virtue of the European Union (Withdrawal) Act 2018, subject to amendments pursuant to the Securitisation (Amendment) (EU Exit) Regulations 2019 and any related regulatory technical standards.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Subsidiary</w:t>
      </w:r>
      <w:r>
        <w:rPr>
          <w:rFonts w:ascii="Times New Roman" w:cs="Times New Roman" w:eastAsia="Times New Roman" w:hAnsi="Times New Roman"/>
          <w:sz w:val="21"/>
          <w:szCs w:val="21"/>
          <w:color w:val="auto"/>
        </w:rPr>
        <w:t>” means any Restricted Subsidiary (i) that is organized or formed under the laws of England and Wales or</w:t>
      </w:r>
    </w:p>
    <w:p>
      <w:pPr>
        <w:spacing w:after="0" w:line="41" w:lineRule="exact"/>
        <w:rPr>
          <w:sz w:val="20"/>
          <w:szCs w:val="20"/>
          <w:color w:val="auto"/>
        </w:rPr>
      </w:pPr>
    </w:p>
    <w:p>
      <w:pPr>
        <w:ind w:firstLine="8"/>
        <w:spacing w:after="0" w:line="259" w:lineRule="auto"/>
        <w:tabs>
          <w:tab w:leader="none" w:pos="33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from which under this Agreement or any other Loan Document are subject to withholding Taxes imposed by the laws of England and Wales.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Unliquidated Obligations</w:t>
      </w:r>
      <w:r>
        <w:rPr>
          <w:rFonts w:ascii="Times New Roman" w:cs="Times New Roman" w:eastAsia="Times New Roman" w:hAnsi="Times New Roman"/>
          <w:sz w:val="22"/>
          <w:szCs w:val="22"/>
          <w:color w:val="auto"/>
        </w:rPr>
        <w:t>” means, at any time, any Obligations (or portion thereof) that are contingent in nature or unliquidated at such time, including any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w:t>
      </w:r>
      <w:r>
        <w:rPr>
          <w:rFonts w:ascii="Times New Roman" w:cs="Times New Roman" w:eastAsia="Times New Roman" w:hAnsi="Times New Roman"/>
          <w:sz w:val="21"/>
          <w:szCs w:val="21"/>
          <w:color w:val="auto"/>
        </w:rPr>
        <w:t xml:space="preserve">” means, at any date, the sum (without duplication) of (a) 100% of the unrestricted and unencumbered cash and Permitted Investments that is owned by the Company, its Domestic Subsidiaries and Foreign Subsidiary Borrowers, </w:t>
      </w:r>
      <w:r>
        <w:rPr>
          <w:rFonts w:ascii="Times New Roman" w:cs="Times New Roman" w:eastAsia="Times New Roman" w:hAnsi="Times New Roman"/>
          <w:sz w:val="21"/>
          <w:szCs w:val="21"/>
          <w:i w:val="1"/>
          <w:iCs w:val="1"/>
          <w:color w:val="auto"/>
        </w:rPr>
        <w:t>plus</w:t>
      </w:r>
    </w:p>
    <w:p>
      <w:pPr>
        <w:spacing w:after="0" w:line="2" w:lineRule="exact"/>
        <w:rPr>
          <w:sz w:val="20"/>
          <w:szCs w:val="20"/>
          <w:color w:val="auto"/>
        </w:rPr>
      </w:pPr>
    </w:p>
    <w:p>
      <w:pPr>
        <w:ind w:firstLine="8"/>
        <w:spacing w:after="0" w:line="261" w:lineRule="auto"/>
        <w:tabs>
          <w:tab w:leader="none" w:pos="31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of the unrestricted and unencumbered cash and Permitted Investments owned by Foreign Restricted Subsidiaries (other than Foreign Subsidiary Borrowers to the extent included in clause (a) of this definition).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71" w:lineRule="auto"/>
        <w:rPr>
          <w:sz w:val="20"/>
          <w:szCs w:val="20"/>
          <w:color w:val="auto"/>
        </w:rPr>
      </w:pPr>
      <w:r>
        <w:rPr>
          <w:rFonts w:ascii="Times New Roman" w:cs="Times New Roman" w:eastAsia="Times New Roman" w:hAnsi="Times New Roman"/>
          <w:sz w:val="22"/>
          <w:szCs w:val="22"/>
          <w:color w:val="auto"/>
        </w:rPr>
        <w:t>“Unrestricted Cash” shall not include any cash or Permitted Investments held by the Company or any of its Restricted Subsidiaries in escrow, trust or other fiduciary capacity for or on behalf of any Person or subject to any other restriction.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xml:space="preserve">” means, at any time, (i) any Subsidiary designated as an Unrestricted Subsidiary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as of the Effective Date or designated by the Company as an Unrestricted Subsidiary pursuant to Section 5.12 subsequent to the Effective Date, in each case, to the extent such Subsidiary has not been designated as a Restricted Subsidiary pursuant to Section 5.12 and (ii) any Subsidiary of an Unrestricted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(i) for purposes of Sections 3.13 and 6.09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2.16(f)(ii)(B)(3)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 to Maturity</w:t>
      </w:r>
      <w:r>
        <w:rPr>
          <w:rFonts w:ascii="Times New Roman" w:cs="Times New Roman" w:eastAsia="Times New Roman" w:hAnsi="Times New Roman"/>
          <w:sz w:val="22"/>
          <w:szCs w:val="22"/>
          <w:color w:val="auto"/>
        </w:rPr>
        <w:t xml:space="preserve">” means, when applied to any Indebtedness, Disqualified Equity Interests or preferred stock, as the case may be, at any date, the number of years obtained by dividing: (a) the sum of the products obtained by multiplying (i) the amount of each then remaining scheduled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 Disqualified Equity Interests or preferred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determining the Weighted Average Life to Maturity of any Indebtedness, Disqualified Equity Interests or preferred stock that is being modified, refinanced, refunded, renewed, replaced or extended (the “</w:t>
      </w:r>
      <w:r>
        <w:rPr>
          <w:rFonts w:ascii="Times New Roman" w:cs="Times New Roman" w:eastAsia="Times New Roman" w:hAnsi="Times New Roman"/>
          <w:sz w:val="22"/>
          <w:szCs w:val="22"/>
          <w:u w:val="single" w:color="auto"/>
          <w:color w:val="auto"/>
        </w:rPr>
        <w:t>Applicable Indebtedness</w:t>
      </w:r>
      <w:r>
        <w:rPr>
          <w:rFonts w:ascii="Times New Roman" w:cs="Times New Roman" w:eastAsia="Times New Roman" w:hAnsi="Times New Roman"/>
          <w:sz w:val="22"/>
          <w:szCs w:val="22"/>
          <w:color w:val="auto"/>
        </w:rPr>
        <w:t>”), the effects of any prepayments or amortization made on such Applicable Indebtedness prior to the date of the applicable modification, refinancing, refunding, renewal, replacement or extension shall be disregarded.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5" w:name="page156"/>
    <w:bookmarkEnd w:id="15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 Domestic Subsidiary</w:t>
      </w:r>
      <w:r>
        <w:rPr>
          <w:rFonts w:ascii="Times New Roman" w:cs="Times New Roman" w:eastAsia="Times New Roman" w:hAnsi="Times New Roman"/>
          <w:sz w:val="22"/>
          <w:szCs w:val="22"/>
          <w:color w:val="auto"/>
        </w:rPr>
        <w:t>” means any Wholly-Owned Subsidiary that is incorporated, organized or formed under the laws of any jurisdiction of the U.S., any State thereof or the District of Columbia.</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 Subsidiary</w:t>
      </w:r>
      <w:r>
        <w:rPr>
          <w:rFonts w:ascii="Times New Roman" w:cs="Times New Roman" w:eastAsia="Times New Roman" w:hAnsi="Times New Roman"/>
          <w:sz w:val="22"/>
          <w:szCs w:val="22"/>
          <w:color w:val="auto"/>
        </w:rPr>
        <w:t>” means, as to any Person, a subsidiary all of the Equity Interests of which (except directors’ qualifying Equity Interests) are at the time directly or indirectly owned by such Person and/or another Wholly-Owned Subsidiary of such Person. Unless otherwise expressly provided, any reference to a Wholly-Owned Subsidiary in the Loan Documents shall mean a Restricted Subsidiary that is a Wholly-Owned Subsidiary of the Company.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For purposes of this Agreement, Loans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Term Benchmark Loan</w:t>
      </w:r>
      <w:r>
        <w:rPr>
          <w:rFonts w:ascii="Times New Roman" w:cs="Times New Roman" w:eastAsia="Times New Roman" w:hAnsi="Times New Roman"/>
          <w:sz w:val="22"/>
          <w:szCs w:val="22"/>
          <w:color w:val="auto"/>
        </w:rPr>
        <w:t>” or an “</w:t>
      </w:r>
      <w:r>
        <w:rPr>
          <w:rFonts w:ascii="Times New Roman" w:cs="Times New Roman" w:eastAsia="Times New Roman" w:hAnsi="Times New Roman"/>
          <w:sz w:val="22"/>
          <w:szCs w:val="22"/>
          <w:u w:val="single" w:color="auto"/>
          <w:color w:val="auto"/>
        </w:rPr>
        <w:t>RFR Loan</w:t>
      </w:r>
      <w:r>
        <w:rPr>
          <w:rFonts w:ascii="Times New Roman" w:cs="Times New Roman" w:eastAsia="Times New Roman" w:hAnsi="Times New Roman"/>
          <w:sz w:val="22"/>
          <w:szCs w:val="22"/>
          <w:color w:val="auto"/>
        </w:rPr>
        <w:t>”)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Term Benchmark Revolving Loan</w:t>
      </w:r>
      <w:r>
        <w:rPr>
          <w:rFonts w:ascii="Times New Roman" w:cs="Times New Roman" w:eastAsia="Times New Roman" w:hAnsi="Times New Roman"/>
          <w:sz w:val="22"/>
          <w:szCs w:val="22"/>
          <w:color w:val="auto"/>
        </w:rPr>
        <w:t>” or an “</w:t>
      </w:r>
      <w:r>
        <w:rPr>
          <w:rFonts w:ascii="Times New Roman" w:cs="Times New Roman" w:eastAsia="Times New Roman" w:hAnsi="Times New Roman"/>
          <w:sz w:val="22"/>
          <w:szCs w:val="22"/>
          <w:u w:val="single" w:color="auto"/>
          <w:color w:val="auto"/>
        </w:rPr>
        <w:t>RFR Revolving Loan</w:t>
      </w:r>
      <w:r>
        <w:rPr>
          <w:rFonts w:ascii="Times New Roman" w:cs="Times New Roman" w:eastAsia="Times New Roman" w:hAnsi="Times New Roman"/>
          <w:sz w:val="22"/>
          <w:szCs w:val="22"/>
          <w:color w:val="auto"/>
        </w:rPr>
        <w:t>”). Borrowings also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Term Benchmark Borrowing</w:t>
      </w:r>
      <w:r>
        <w:rPr>
          <w:rFonts w:ascii="Times New Roman" w:cs="Times New Roman" w:eastAsia="Times New Roman" w:hAnsi="Times New Roman"/>
          <w:sz w:val="22"/>
          <w:szCs w:val="22"/>
          <w:color w:val="auto"/>
        </w:rPr>
        <w:t>” or an “</w:t>
      </w:r>
      <w:r>
        <w:rPr>
          <w:rFonts w:ascii="Times New Roman" w:cs="Times New Roman" w:eastAsia="Times New Roman" w:hAnsi="Times New Roman"/>
          <w:sz w:val="22"/>
          <w:szCs w:val="22"/>
          <w:u w:val="single" w:color="auto"/>
          <w:color w:val="auto"/>
        </w:rPr>
        <w:t>RFR Borrowing</w:t>
      </w:r>
      <w:r>
        <w:rPr>
          <w:rFonts w:ascii="Times New Roman" w:cs="Times New Roman" w:eastAsia="Times New Roman" w:hAnsi="Times New Roman"/>
          <w:sz w:val="22"/>
          <w:szCs w:val="22"/>
          <w:color w:val="auto"/>
        </w:rPr>
        <w:t>”)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Term Benchmark Revolving Borrowing</w:t>
      </w:r>
      <w:r>
        <w:rPr>
          <w:rFonts w:ascii="Times New Roman" w:cs="Times New Roman" w:eastAsia="Times New Roman" w:hAnsi="Times New Roman"/>
          <w:sz w:val="22"/>
          <w:szCs w:val="22"/>
          <w:color w:val="auto"/>
        </w:rPr>
        <w:t>” or an “</w:t>
      </w:r>
      <w:r>
        <w:rPr>
          <w:rFonts w:ascii="Times New Roman" w:cs="Times New Roman" w:eastAsia="Times New Roman" w:hAnsi="Times New Roman"/>
          <w:sz w:val="22"/>
          <w:szCs w:val="22"/>
          <w:u w:val="single" w:color="auto"/>
          <w:color w:val="auto"/>
        </w:rPr>
        <w:t>RFR Revolving Borrowing</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Terms Generally</w:t>
      </w:r>
      <w:r>
        <w:rPr>
          <w:rFonts w:ascii="Times New Roman" w:cs="Times New Roman" w:eastAsia="Times New Roman" w:hAnsi="Times New Roman"/>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as applied to any Person, shall be construed as referring to all statutes, rules, regulations, codes and other laws (including official rulings and interpretations thereunder having the force of law) and all judgments, orders and decrees of all Governmental Authorities, in each case applicable to such Person or its properties. The word “will” shall be construed to have the same meaning and effect as the word “shall”. Unless the context requires otherwise (a) any definition of or reference to any agreement, instrument or other document herein (including any Loan Document) shall be construed as referring to such agreement, instrument or other document as from time to time amended, restated, amended and restated, supplemented or otherwise modified (subject to any restrictions on such amendments,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20" w:lineRule="auto"/>
        <w:rPr>
          <w:sz w:val="20"/>
          <w:szCs w:val="20"/>
          <w:color w:val="auto"/>
        </w:rPr>
      </w:pPr>
      <w:r>
        <w:rPr>
          <w:rFonts w:ascii="Times New Roman" w:cs="Times New Roman" w:eastAsia="Times New Roman" w:hAnsi="Times New Roman"/>
          <w:sz w:val="21"/>
          <w:szCs w:val="21"/>
          <w:color w:val="auto"/>
        </w:rPr>
        <w:t>restatements, amendments and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5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Accounting Terms; GAAP</w:t>
      </w:r>
      <w:r>
        <w:rPr>
          <w:rFonts w:ascii="Times New Roman" w:cs="Times New Roman" w:eastAsia="Times New Roman" w:hAnsi="Times New Roman"/>
          <w:sz w:val="21"/>
          <w:szCs w:val="21"/>
          <w:color w:val="auto"/>
        </w:rPr>
        <w:t xml:space="preserve">. Except as otherwise expressly provided herein, all terms of an accounting or financial nature shall be construed in accordance with GAAP (or, to the extent that such terms apply solely to any Insurance Subsidiary, or if otherwise expressly required, SAP), as in effect from time to time; provided that, if the Borrowers notify the Administrative Agent that the Borrowers request an amendment to any provision hereof to eliminate the effect of any change occurring after the Effective Date in GAAP (or, to the extent that such terms apply solely to any Insurance Subsidiary, or if otherwise expressly required, SAP) or in the application thereof on the operation of such provision (or if the Administrative Agent notifies the Borrowers that the Required Lenders request an amendment to any provision hereof for such purpose), regardless of whether any such notice is given before or after such change in GAAP (or, to the extent that such terms apply solely to any Insurance Subsidiary, or if otherwise expressly required, SAP) or in the application thereof, then such provision shall be interpreted on the basis of GAAP (or, to the extent that such terms apply solely to any Insurance Subsidiary, or if otherwise expressly required, SAP) as in effect and applied immediately before such change shall have become effective until such notice shall have been withdrawn or such provision amended in accordance herewith (which amendment shall be made without the payment of a fee, other than legal expenses required to be reimbursed by the Loan Parties pursuant to </w:t>
      </w:r>
      <w:r>
        <w:rPr>
          <w:rFonts w:ascii="Times New Roman" w:cs="Times New Roman" w:eastAsia="Times New Roman" w:hAnsi="Times New Roman"/>
          <w:sz w:val="21"/>
          <w:szCs w:val="21"/>
          <w:u w:val="single" w:color="auto"/>
          <w:color w:val="auto"/>
        </w:rPr>
        <w:t>Section 9.03(a)</w:t>
      </w:r>
      <w:r>
        <w:rPr>
          <w:rFonts w:ascii="Times New Roman" w:cs="Times New Roman" w:eastAsia="Times New Roman" w:hAnsi="Times New Roman"/>
          <w:sz w:val="21"/>
          <w:szCs w:val="21"/>
          <w:color w:val="auto"/>
        </w:rPr>
        <w:t xml:space="preserve">). Notwithstanding anything in this Agreement, in any financial statements of the Company and its Restricted Subsidiaries or in GAAP (or, to the extent that such terms apply solely to any Insurance Subsidiary, or if otherwise expressly required, SAP) to the contrary, for purposes of calculating and determining compliance with the financial covenants in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and determining the Applicable Margin, including defined terms used therein, the Reinsurance Subsidiary shall not be consolidated with the Company and its other Restricted Subsidiaries and the Reinsurance Subsidiary shall be excluded therefrom. Notwithstanding anything to the contrary contained in this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xml:space="preserve"> or in the definition of “Capital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21"/>
          <w:szCs w:val="21"/>
          <w:u w:val="single" w:color="auto"/>
          <w:color w:val="auto"/>
        </w:rPr>
        <w:t>FAS 842</w:t>
      </w:r>
      <w:r>
        <w:rPr>
          <w:rFonts w:ascii="Times New Roman" w:cs="Times New Roman" w:eastAsia="Times New Roman" w:hAnsi="Times New Roman"/>
          <w:sz w:val="21"/>
          <w:szCs w:val="21"/>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of any restriction, basket, covenant or carveout and deliverables (other than financial statements) under this Agreement or any other Loan Document shall be made or delivered, as applicable, in accordance therewith. Notwithstanding anything to the contrary in this Agreement, the allowance of any transaction under this Agreement upon the absence of any Specified Event of Default shall not be deemed to waive on behalf of any Credit Party or any their respective Affiliates 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57" w:name="page158"/>
    <w:bookmarkEnd w:id="157"/>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rights or remedies which may otherwise be available to any Credit Party or any their respective Affiliates under the Loan Documents due to any other Default hereunder.</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Agreement, (a) Restricted Subsidiaries that are not Loan Parties shall be excluded from calculations of Consolidated Net Income, Consolidated Net Indebtedness, Fixed Charges and Maintenance Capital Expenditures, and (b) items described in </w:t>
      </w:r>
      <w:r>
        <w:rPr>
          <w:rFonts w:ascii="Times New Roman" w:cs="Times New Roman" w:eastAsia="Times New Roman" w:hAnsi="Times New Roman"/>
          <w:sz w:val="22"/>
          <w:szCs w:val="22"/>
          <w:u w:val="single" w:color="auto"/>
          <w:color w:val="auto"/>
        </w:rPr>
        <w:t>clauses (b)(viii)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(b)(xiii)</w:t>
      </w:r>
      <w:r>
        <w:rPr>
          <w:rFonts w:ascii="Times New Roman" w:cs="Times New Roman" w:eastAsia="Times New Roman" w:hAnsi="Times New Roman"/>
          <w:sz w:val="22"/>
          <w:szCs w:val="22"/>
          <w:color w:val="auto"/>
        </w:rPr>
        <w:t xml:space="preserve"> of the definition of “Consolidated EBITDA” that are attributable to Restricted Subsidiaries that are not Loan Parties shall not be added back to “Consolidated EBITDA”. In addition to the foregoing, 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w:t>
      </w:r>
    </w:p>
    <w:p>
      <w:pPr>
        <w:spacing w:after="0" w:line="15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Interest Rates; Benchmark Notifications</w:t>
      </w:r>
      <w:r>
        <w:rPr>
          <w:rFonts w:ascii="Times New Roman" w:cs="Times New Roman" w:eastAsia="Times New Roman" w:hAnsi="Times New Roman"/>
          <w:sz w:val="22"/>
          <w:szCs w:val="22"/>
          <w:color w:val="auto"/>
        </w:rPr>
        <w:t>. The interest rate on a Loan denominated in dollars or any Alternative Currency may be derived from an interest rate benchmark that may be discontinued or is, or may in the future become, the subject of regulatory reform. Upon the occurrence of a Benchmark Transition Event, Section 2.13(b)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Unless otherwise specified herein, the amount of a Letter of Credit at any time shall be deemed to be the Dollar Equivalent of the stated amount of such Letter of Credit available to be drawn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or Rule 3.13 or Rule 3.14 of the International Standby Practices, International Chamber of Commerce Publication No. 590 (or such later version thereof as may be in effect) or similar terms of the Letter of Credit itself, or if compliant documents have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58" w:name="page159"/>
    <w:bookmarkEnd w:id="158"/>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been presented but not yet honored, such Letter of Credit shall be deemed to be “outstanding” and “undrawn” in the amount so remaining available to be paid, and except to the extent provided for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of the definition of Payment in Full,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3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1.08</w:t>
      </w:r>
      <w:r>
        <w:rPr>
          <w:sz w:val="20"/>
          <w:szCs w:val="20"/>
          <w:color w:val="auto"/>
        </w:rPr>
        <w:tab/>
      </w:r>
      <w:r>
        <w:rPr>
          <w:rFonts w:ascii="Times New Roman" w:cs="Times New Roman" w:eastAsia="Times New Roman" w:hAnsi="Times New Roman"/>
          <w:sz w:val="22"/>
          <w:szCs w:val="22"/>
          <w:u w:val="single" w:color="auto"/>
          <w:color w:val="auto"/>
        </w:rPr>
        <w:t>Limited Condition Transactions</w:t>
      </w:r>
      <w:r>
        <w:rPr>
          <w:rFonts w:ascii="Times New Roman" w:cs="Times New Roman" w:eastAsia="Times New Roman" w:hAnsi="Times New Roman"/>
          <w:sz w:val="22"/>
          <w:szCs w:val="22"/>
          <w:color w:val="auto"/>
        </w:rPr>
        <w:t>. In connection with any action being taken solely in connection with a</w:t>
      </w:r>
    </w:p>
    <w:p>
      <w:pPr>
        <w:spacing w:after="0"/>
        <w:rPr>
          <w:sz w:val="20"/>
          <w:szCs w:val="20"/>
          <w:color w:val="auto"/>
        </w:rPr>
      </w:pPr>
      <w:r>
        <w:rPr>
          <w:rFonts w:ascii="Times New Roman" w:cs="Times New Roman" w:eastAsia="Times New Roman" w:hAnsi="Times New Roman"/>
          <w:sz w:val="22"/>
          <w:szCs w:val="22"/>
          <w:color w:val="auto"/>
        </w:rPr>
        <w:t>Limited Condition Transaction, for purposes of:</w:t>
      </w:r>
    </w:p>
    <w:p>
      <w:pPr>
        <w:spacing w:after="0" w:line="155" w:lineRule="exact"/>
        <w:rPr>
          <w:sz w:val="20"/>
          <w:szCs w:val="20"/>
          <w:color w:val="auto"/>
        </w:rPr>
      </w:pPr>
    </w:p>
    <w:p>
      <w:pPr>
        <w:ind w:firstLine="656"/>
        <w:spacing w:after="0" w:line="236" w:lineRule="auto"/>
        <w:tabs>
          <w:tab w:leader="none" w:pos="129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determining compliance with any provision of this Agreement (other than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that requires the calculation of the Net Leverage Ratio or the Fixed Charge Coverage Ratio,</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determining the accuracy of representations and warranties and/or whether a Default or Event of Default shall have occurred and be continuing (or any subset of Defaults or Events of Default) for all purposes other than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(but subject to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or</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testing availability under baskets set forth in this Agreement (including baskets measured as a percentage of Applicable EBITDA),</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date of determination of whether any such actions and transactions are permitted hereunder shall, in each case, at the option of the Company (the Company’s election to exercise such option in connection with any Limited Condition Transaction, an “</w:t>
      </w:r>
      <w:r>
        <w:rPr>
          <w:rFonts w:ascii="Times New Roman" w:cs="Times New Roman" w:eastAsia="Times New Roman" w:hAnsi="Times New Roman"/>
          <w:sz w:val="22"/>
          <w:szCs w:val="22"/>
          <w:u w:val="single" w:color="auto"/>
          <w:color w:val="auto"/>
        </w:rPr>
        <w:t>LCT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xml:space="preserve">”), be deemed to be the date the definitive agreements for such Limited Condition Transaction are entered into or, in respect of any transaction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definition of Limited Condition Transaction, delivery of irrevocable notice, declaration of dividend or similar event (the “</w:t>
      </w:r>
      <w:r>
        <w:rPr>
          <w:rFonts w:ascii="Times New Roman" w:cs="Times New Roman" w:eastAsia="Times New Roman" w:hAnsi="Times New Roman"/>
          <w:sz w:val="22"/>
          <w:szCs w:val="22"/>
          <w:u w:val="single" w:color="auto"/>
          <w:color w:val="auto"/>
        </w:rPr>
        <w:t>LCT Test Date</w:t>
      </w:r>
      <w:r>
        <w:rPr>
          <w:rFonts w:ascii="Times New Roman" w:cs="Times New Roman" w:eastAsia="Times New Roman" w:hAnsi="Times New Roman"/>
          <w:sz w:val="22"/>
          <w:szCs w:val="22"/>
          <w:color w:val="auto"/>
        </w:rPr>
        <w:t>”), and if, after giving effect on a Pro Forma Basis to the Limited Condition Transaction and the other transactions to be entered into in connection therewith (including any incurrence of Indebtedness and the use of proceeds thereof) as if they had occurred at the beginning of the four consecutive fiscal quarter period being used to calculate such financial ratio ending prior to the LCT Test Date, the Company could have taken such action on the relevant LCT Test Date in compliance with such ratio or basket, such ratio or basket shall be deemed to have been complied with; provided that each such Limited Condition Transaction shall be consummated within one-hundred and eighty (180) days of such LCT Test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For the avoidance of doubt, if the Company has made an LCT Election and any of the ratios or baskets for which compliance was determined or tested as of the LCT Test Date are exceeded as a result of fluctuations in any such ratio or basket, including due to fluctuations in Consolidated EBITDA of the Company or the Person subject to such Limited Condition Transaction, at or prior to the consummation of the relevant transaction or action, such baskets or ratios will not be deemed to have been exceeded as a result of such fluctuations; provided,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59" w:name="page160"/>
    <w:bookmarkEnd w:id="159"/>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however, if any ratios improve or baskets increase as a result of such fluctuations, such improved ratios or baskets may be utilized. If the Company has made an LCT Election for any Limited Condition Transaction, then, in connection with any subsequent calculation of the ratios (excluding, for the avoidance of doubt, any ratio contained in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or baskets on or following the relevant LCT Test Date and prior to the earlier of (i) the date on which such Limited Condition Transaction is consummated or (ii) the date that the definitive agreement, notice or declaration for such Limited Condition Transaction is terminated or expires without consummation of such Limited Condition Transaction (or, if applicable, the irrevocable notice, declaration of dividend or similar event is terminated or expires), any such ratio or basket shall be calculated on a Pro Forma Basis assuming such Limited Condition Transaction and other transactions in connection therewith (including the incurrence of any Incremental Facility, Incremental Equivalent Debt or other Indebtedness and the use of proceeds thereof) have been consummated and the commitments thereunder are fully drawn, to the extent that the commitments for such undrawn facilities permit such draw at the closing of the applicable transaction.</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1.09</w:t>
      </w:r>
      <w:r>
        <w:rPr>
          <w:sz w:val="20"/>
          <w:szCs w:val="20"/>
          <w:color w:val="auto"/>
        </w:rPr>
        <w:tab/>
      </w:r>
      <w:r>
        <w:rPr>
          <w:rFonts w:ascii="Times New Roman" w:cs="Times New Roman" w:eastAsia="Times New Roman" w:hAnsi="Times New Roman"/>
          <w:sz w:val="21"/>
          <w:szCs w:val="21"/>
          <w:u w:val="single" w:color="auto"/>
          <w:color w:val="auto"/>
        </w:rPr>
        <w:t>Pro Forma Basis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6" w:lineRule="auto"/>
        <w:tabs>
          <w:tab w:leader="none" w:pos="129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herein, but subject to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all financial ratios, tests, conditions and measurements, including the Net Leverage Ratio, the Fixed Charge Coverage Ratio, total assets, total revenues, Applicable EBITDA or Consolidated EBITDA (including any component definitions of any of the foregoing) herein or in any Loan Document that are calculated with respect to any period during which (or any date on which) any Pro Forma Transaction occurs shall be (x) calculated by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such Pro Forma Transaction in the manner contemplated in the definition of Consolidated EBITDA as if such Pro Forma Transaction had occurred on the first day of the applicable four-Fiscal Quarter reference period, but in all cases subject to the terms and conditions (including any caps or other limitations) set forth in the definition of Consolidated EBITDA and any defined terms used therein, (y) determined by reference to the financial statements for the period of four consecutive Fiscal Quarters ended on or most recently prior to such calculation or determination for which financial statements have been delivered (or are required to have been delivered) to the Administrative Agent pursuant to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(z) made by reference to the applicable financial covenant levels required under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(without giving effect to any Adjusted Covenant Period (other than in the case of determining satisfaction of the conditions to (A) a Permitted Acquisition or (B) the incurrence of any Incremental Term Loans or Incremental Equivalent Debt the proceeds of which are used in substantial majority to finance the concurrent consummation of a Permitted Acquisition)) for the Fiscal Quarter during which such Pro Forma Transaction was consummated (or, if there is no financial covenant required to be tested during such Fiscal Quarter, the financial covenant level for the first testing period scheduled to occur after the date of such calculation). Further, if since the beginning of any such period and on or prior to the date of any required calculation of any financial ratio, test, condition or measurement (i) any Pro Forma Transaction has occurred or (ii) any Person that subsequently became a Restricted Subsidiary or was merged, amalgamated or consolidated with or into any Restricted Subsidiary since the beginning of such period has consummated any Pro Forma Transaction, then, in each case, any applicable financial ratio, test, condition or measurement shall be calculated for such period as if such Pro Forma Transaction had occurred at the beginning of the applicable period as further provided in clause (x) above. Notwithstanding anything to the contrary contained herein or in any Loan Document, (I) for the purposes of determining compliance with the financial covenants in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and calculating the Net Leverage Ratio for purposes of the definitions of “Applicable Margin” and “Commitment Fee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11" w:lineRule="auto"/>
        <w:rPr>
          <w:sz w:val="20"/>
          <w:szCs w:val="20"/>
          <w:color w:val="auto"/>
        </w:rPr>
      </w:pPr>
      <w:r>
        <w:rPr>
          <w:rFonts w:ascii="Times New Roman" w:cs="Times New Roman" w:eastAsia="Times New Roman" w:hAnsi="Times New Roman"/>
          <w:sz w:val="22"/>
          <w:szCs w:val="22"/>
          <w:color w:val="auto"/>
        </w:rPr>
        <w:t>Rate”, any such adjustments shall only include events that occurred during the applicable period of determination, and (II) to the extent any Indebtedness is incurred or assumed in connection with any Pro Forma Transaction or other transaction permitted hereunder, any determination on a Pro Forma Basis of the Net Leverage Ratio or compliance with the financial covenants required to be made under this Agreement in connection with such Pro Forma Transaction or other transaction shall be made without including the proceeds of such incurred or assumed Indebtedness as Unrestricted Cash (other than any such proceeds that are not used to pay any consideration (including, without limitation, the repayment of any Indebtedness or other obligations or the payment of any compensation, bonuses or earnouts or deferred purchase price obligations) for, or any fees or expenses incurred in connection with or Restricted Payments or other distributions or Investments made in connection with, such Pro Forma Transaction or other transaction).</w:t>
      </w:r>
    </w:p>
    <w:p>
      <w:pPr>
        <w:spacing w:after="0" w:line="158" w:lineRule="exact"/>
        <w:rPr>
          <w:sz w:val="20"/>
          <w:szCs w:val="20"/>
          <w:color w:val="auto"/>
        </w:rPr>
      </w:pPr>
    </w:p>
    <w:p>
      <w:pPr>
        <w:jc w:val="both"/>
        <w:ind w:firstLine="656"/>
        <w:spacing w:after="0" w:line="209" w:lineRule="auto"/>
        <w:tabs>
          <w:tab w:leader="none" w:pos="12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Lien, Indebtedness (including any Incremental Equivalent Debt, Ratio Debt or Subordinated Debt), Disqualified Stock, preferred stock, Disposition, Investment, Restricted Payment, or other transaction, action, judgment or amount (any of the foregoing in concurrent transactions, a single transaction or a series of related transactions) is incurred, issued, taken or consummated in reliance on categories of baskets measured by reference to a percentage of Applicable EBITDA, and any Lien, Indebtedness, Disqualified Stock, preferred stock, Disposition, Investment, Restricted Payment, or other transaction, action, judgment or amount (including in connection with refinancing thereof) so incurred, issued, taken or consummated would subsequently exceed the applicable percentage of Applicable EBITDA in the applicable basket(s) for such incurrence, issuance, action or consummation if calculated based on the Applicable EBITDA on a later date (including the date of any refinancing or re-classification), such percentage of Applicable EBITDA will be deemed not to be exceeded (so long as, in the case of refinancing any Indebtedness, Disqualified Stock or preferred stock (and any related Lien), the principal amount or the liquidation preference of such newly incurred or issued Indebtedness, Disqualified Stock or preferred stock does not exceed the principal amount, liquidation preference or amount of Refinancing Indebtedness or other conditions applicable to such incurrence, issuance, action or consummation in respect of the Indebtedness, Disqualified Stock or preferred stock being refinanced, extended, replaced, refunded, renewed or defeased).</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1.10 </w:t>
      </w:r>
      <w:r>
        <w:rPr>
          <w:rFonts w:ascii="Times New Roman" w:cs="Times New Roman" w:eastAsia="Times New Roman" w:hAnsi="Times New Roman"/>
          <w:sz w:val="22"/>
          <w:szCs w:val="22"/>
          <w:u w:val="single" w:color="auto"/>
          <w:color w:val="auto"/>
        </w:rPr>
        <w:t>Calculations with Respect to Negative Covenants</w:t>
      </w:r>
      <w:r>
        <w:rPr>
          <w:rFonts w:ascii="Times New Roman" w:cs="Times New Roman" w:eastAsia="Times New Roman" w:hAnsi="Times New Roman"/>
          <w:sz w:val="22"/>
          <w:szCs w:val="22"/>
          <w:color w:val="auto"/>
        </w:rPr>
        <w:t>. To the extent a payment, Investment or other transaction is permitted to be made by the Company or a Restricted Subsidiary (the “</w:t>
      </w:r>
      <w:r>
        <w:rPr>
          <w:rFonts w:ascii="Times New Roman" w:cs="Times New Roman" w:eastAsia="Times New Roman" w:hAnsi="Times New Roman"/>
          <w:sz w:val="22"/>
          <w:szCs w:val="22"/>
          <w:u w:val="single" w:color="auto"/>
          <w:color w:val="auto"/>
        </w:rPr>
        <w:t>Acting Person</w:t>
      </w:r>
      <w:r>
        <w:rPr>
          <w:rFonts w:ascii="Times New Roman" w:cs="Times New Roman" w:eastAsia="Times New Roman" w:hAnsi="Times New Roman"/>
          <w:sz w:val="22"/>
          <w:szCs w:val="22"/>
          <w:color w:val="auto"/>
        </w:rPr>
        <w:t>”) directly to, in, or with any other Person (each such Person, a “</w:t>
      </w:r>
      <w:r>
        <w:rPr>
          <w:rFonts w:ascii="Times New Roman" w:cs="Times New Roman" w:eastAsia="Times New Roman" w:hAnsi="Times New Roman"/>
          <w:sz w:val="22"/>
          <w:szCs w:val="22"/>
          <w:u w:val="single" w:color="auto"/>
          <w:color w:val="auto"/>
        </w:rPr>
        <w:t>Target Person</w:t>
      </w:r>
      <w:r>
        <w:rPr>
          <w:rFonts w:ascii="Times New Roman" w:cs="Times New Roman" w:eastAsia="Times New Roman" w:hAnsi="Times New Roman"/>
          <w:sz w:val="22"/>
          <w:szCs w:val="22"/>
          <w:color w:val="auto"/>
        </w:rPr>
        <w:t xml:space="preserve">”) under any provision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such payment, Investment or other transaction may be made by advance, contribution or distribution by the Acting Person to the Company or a Restricted Subsidiary, and, substantially concurrently with the initial payment, Investment or other transaction, further advanced or contributed by the Company or such Restricted Subsidiary for purposes of making the relevant payment, Investment or other transaction to, in or with the Target Person without constituting an additional payment, Investment or other transaction for purposes of the applicable provisions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(it being understood that any such payment, Investment or other transaction must satisfy the requirements of, and shall count toward any thresholds, baskets, conditions or other limitations in, each provision of the applicable provisions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as if made by the applicable Acting Party directly to the Target Person).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1.11</w:t>
      </w:r>
      <w:r>
        <w:rPr>
          <w:sz w:val="20"/>
          <w:szCs w:val="20"/>
          <w:color w:val="auto"/>
        </w:rPr>
        <w:tab/>
      </w:r>
      <w:r>
        <w:rPr>
          <w:rFonts w:ascii="Times New Roman" w:cs="Times New Roman" w:eastAsia="Times New Roman" w:hAnsi="Times New Roman"/>
          <w:sz w:val="21"/>
          <w:szCs w:val="21"/>
          <w:u w:val="single" w:color="auto"/>
          <w:color w:val="auto"/>
        </w:rPr>
        <w:t>Exchange Rates; Currency Equivalents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656"/>
        <w:spacing w:after="0" w:line="236" w:lineRule="auto"/>
        <w:tabs>
          <w:tab w:leader="none" w:pos="129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the Issuing Bank, as applicable, shall determine the Dollar Equivalent amounts of Term Benchmark Borrowings or RFR Borrowings or Letter of Credit extensions denominated in Alternative Currencies on each Revaluation Date. Such Dollar Equivalent shall become effective as of such Revaluation Date and shall be the Dollar Equivalent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1" w:name="page162"/>
    <w:bookmarkEnd w:id="161"/>
    <w:p>
      <w:pPr>
        <w:jc w:val="both"/>
        <w:spacing w:after="0" w:line="220" w:lineRule="auto"/>
        <w:rPr>
          <w:sz w:val="20"/>
          <w:szCs w:val="20"/>
          <w:color w:val="auto"/>
        </w:rPr>
      </w:pPr>
      <w:r>
        <w:rPr>
          <w:rFonts w:ascii="Times New Roman" w:cs="Times New Roman" w:eastAsia="Times New Roman" w:hAnsi="Times New Roman"/>
          <w:sz w:val="22"/>
          <w:szCs w:val="22"/>
          <w:color w:val="auto"/>
        </w:rPr>
        <w:t>of such amounts until the next Revaluation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w:t>
      </w:r>
    </w:p>
    <w:p>
      <w:pPr>
        <w:spacing w:after="0" w:line="152" w:lineRule="exact"/>
        <w:rPr>
          <w:sz w:val="20"/>
          <w:szCs w:val="20"/>
          <w:color w:val="auto"/>
        </w:rPr>
      </w:pPr>
    </w:p>
    <w:p>
      <w:pPr>
        <w:jc w:val="both"/>
        <w:ind w:firstLine="656"/>
        <w:spacing w:after="0" w:line="215" w:lineRule="auto"/>
        <w:tabs>
          <w:tab w:leader="none" w:pos="1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ind w:left="4940"/>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15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Revolving Commitments</w:t>
      </w:r>
      <w:r>
        <w:rPr>
          <w:rFonts w:ascii="Times New Roman" w:cs="Times New Roman" w:eastAsia="Times New Roman" w:hAnsi="Times New Roman"/>
          <w:sz w:val="22"/>
          <w:szCs w:val="22"/>
          <w:color w:val="auto"/>
        </w:rPr>
        <w:t>. Subject to the terms and conditions set forth herein, each Revolving Lender severally (and not jointly) agrees to make Revolving Loans in Dollars or in one or more Alternative Currencies to the Company and the Foreign Subsidiary Borrowers from time to time during the Availability Period in an aggregate principal amount that will not result (after giving effect to any application of proceeds of such Borrowing pursuant to Section 2.09(a)) in (i) such Lender’s Revolving Exposure exceeding such Lender’s Revolving Commitment, (ii) the total Revolving Exposures exceeding the aggregate Revolving Commitments or (iii) the total Revolving Exposure denominated in Alternative Currencies exceeding the Alternative Currency Sublimit. Within the foregoing limits and subject to the terms and conditions set forth herein, the Borrowers may borrow, prepay and reborrow Revolving Loans.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Loans and Borrowings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7" w:lineRule="auto"/>
        <w:tabs>
          <w:tab w:leader="none" w:pos="129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Commitments of the Lenders are several and no Lender shall be responsible for any other Lender’s failure to make Loans as required. Any Swingline Loan shall be made in accordance with the procedures set forth in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each Revolving Borrowing shall be comprised (i) in the case of Borrowings in Dollars, entirely of ABR Loans, Term Benchmark Loans or RFR Loans and (ii) in the case of Borrowings in any other Agreed Currency, entirely of Term Benchmark Loans or RFR Loans, as applicable, in each case of the same Agreed Currency, as the applicable Borrower may request in accordance herewith. Each Swingline Loan shall be an ABR Loan or shall bear interest at an alternate rate agreed upon by the applicable Borrower and the Swingline Lender.</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commencement of each Interest Period for any Term Benchmark Borrowing, such Borrowing shall be in an aggregate amount that is an integral multiple of the Dollar Equivalent of $50,000 and not less than the Dollar Equivalent of $250,000. At the time that each ABR Revolving Borrowing and/or RFR Borrowing is made, such Borrowing shall be in an aggregate amount that is an integral multiple of the Dollar Equivalent of $10,000 and not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2" w:name="page163"/>
    <w:bookmarkEnd w:id="162"/>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less than the Dollar Equivalent of $50,000;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Revolving Borrowing may be in an aggregate amount that is equal to the entire unused balance of the total Revolving Commitments or that is required to finance the reimbursement of an LC Disbursement as contemplated by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xml:space="preserve">. Each Swingline Loan shall be in an amount that is not less than an amount required by the Swingline Lender from time to time. Borrowings of more than one Type and Class may be outstanding at the same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not at any time be more than a total of fifteen (15) Term Benchmark Borrowings or RFR Borrowings outstanding.</w:t>
      </w:r>
    </w:p>
    <w:p>
      <w:pPr>
        <w:spacing w:after="0" w:line="152" w:lineRule="exact"/>
        <w:rPr>
          <w:sz w:val="20"/>
          <w:szCs w:val="20"/>
          <w:color w:val="auto"/>
        </w:rPr>
      </w:pPr>
    </w:p>
    <w:p>
      <w:pPr>
        <w:ind w:firstLine="656"/>
        <w:spacing w:after="0" w:line="236" w:lineRule="auto"/>
        <w:tabs>
          <w:tab w:leader="none" w:pos="129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no Borrower shall be entitled to request, or to elect to convert or continue, any Borrowing if the Interest Period requested would end after the Maturity Date applicable thereto.</w:t>
      </w:r>
    </w:p>
    <w:p>
      <w:pPr>
        <w:spacing w:after="0" w:line="150"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Borrowings</w:t>
      </w:r>
      <w:r>
        <w:rPr>
          <w:rFonts w:ascii="Times New Roman" w:cs="Times New Roman" w:eastAsia="Times New Roman" w:hAnsi="Times New Roman"/>
          <w:sz w:val="22"/>
          <w:szCs w:val="22"/>
          <w:color w:val="auto"/>
        </w:rPr>
        <w:t xml:space="preserve">. To request a Borrowing, the applicable Borrower shall notify the Administrative Agent of such request by submitting a Borrowing Request (a)(i)(x) in the case of a Term Benchmark Borrowing denominated in Dollars, not later than 11:00 a.m., New York City time, three U.S. Government Securities Business Days before the date of the proposed Borrowing or (y) in the case of an RFR Borrowing denominated in Dollars, not later than 11:00 a.m., New York City time, five U.S. Government Securities Business Days before the date of the proposed Borrowing, (ii) in the case of a Term Benchmark Borrowing denominated in Euros, not later than 12:00 p.m., New York City time, three Business Days before the date of the proposed Borrowing, or (iii) in the case of an RFR Borrowing denominated in Sterling, not later than 11:00 a.m., New York City time, five RFR Business Days before the date of the proposed Borrowing or (b) in the case of an ABR Borrowing, not later than 11:00 a.m., New York City time, on the date of the proposed Borrowing; provided that any such notice of an ABR Borrowing to finance the reimbursement of an LC Disbursement as contemplated by Section 2.05(e) may be given not later than 10:00 a.m., New York City time, on the date of the proposed Borrowing. Each such Borrowing Request shall be irrevocable, unless such Borrowing is expressly conditioned upon the consummation of another transaction, in which case such notice may be revocable if such transaction is not consummated, and shall be signed by a Responsible Officer of the applicable Borrower. Each such Borrowing Request shall be signed by a Financial Officer of the applicable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Borrowing Request is submitted through an Approved Borrower Portal, the foregoing signature requirement may be waived at the sole discretion of the Administrative Agent. Each such Borrowing Request shall specify the following information in compliance with Section 2.02:</w:t>
      </w:r>
    </w:p>
    <w:p>
      <w:pPr>
        <w:spacing w:after="0" w:line="161" w:lineRule="exact"/>
        <w:rPr>
          <w:sz w:val="20"/>
          <w:szCs w:val="20"/>
          <w:color w:val="auto"/>
        </w:rPr>
      </w:pPr>
    </w:p>
    <w:p>
      <w:pPr>
        <w:ind w:left="660" w:right="20" w:firstLine="644"/>
        <w:spacing w:after="0" w:line="236" w:lineRule="auto"/>
        <w:tabs>
          <w:tab w:leader="none" w:pos="19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requesting such Borrowing, and the Agreed Currency and the aggregate amount of the requested Borrowing;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or a Term Benchmark Borrowing or an RFR Borrowing, provided that RFR Borrowings denominated in Dollars shall only be available by operation of Section 2.13;</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Benchmark Borrowing, the initial Interest Period to be applicable thereto, which shall be a period contemplated by the definition of the term “Interest Period”; and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location and number of the applicable Borrower’s account to which funds are to be disbursed, which shall comply with the requirements of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3" w:name="page164"/>
    <w:bookmarkEnd w:id="16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If no election as to the currency of a Borrowing is specified, then the requested Revolving Borrowing shall be made in Dollars. If no election as to the Type of Revolving Borrowing is specified, then the requested Revolving Borrowing shall be an ABR Borrowing made in Dollars, unless such Borrowing is denominated in an Alternative Currency, in which case such Borrowing shall be a Term Benchmark Borrowing or RFR Borrowing, as applicable. If no Interest Period is specified with respect to any requested Term Benchmark Revolving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6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Swingline Loans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set forth herein, the Swingline Lender may, but shall have no obligation, to make Swingline Loans denominated in Dollars to any Borrower from time to time during the Availability Period, in an aggregate principal amount at any time outstanding that will not result in (i) the aggregate principal amount of outstanding Swingline Loans exceeding $20,000,000, or (ii) the total Dollar Equivalent of the Revolving Exposures exceeding the total Revolving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Swingline Lender shall not be required to make a Swingline Loan to refinance an outstanding Swingline Loan. Within the foregoing limits and subject to the terms and conditions set forth herein, the applicable Borrower may borrow, prepay and reborrow Swingline Loans. To request a Swingline Loan, the applicable Borrower shall submit a written notice to the Administrative Agent by telecopy or electronic mail (or transmit by electronic communication including an Approved Borrower Portal, if arrangements for such transmission have been approved by the Administrative Agent) not later than 12:00 noon, eastern time, on the day of a proposed Swingline Loan or by such other time and by other procedures as may be agreed upon from time to time between the applicable Borrower and the Swingline Lender. Each such notice which shall be substantially in the form separately provided to the Borrower Representative by the Administrative Agent prior to the date of this Agreement, or such alternate form as may be mutually agreed by the Administrative Agent and the Borrower Representative from time to time, shall be irrevocable (unless such Borrowing is expressly conditioned upon the consummation of another transaction, in which case such notice may be revocable if such transaction is not consummated) and shall specify the requested date (which shall be a Business Day) and amount of the requested Swingline Loan and whether such Swingline Loan shall be an ABR Loan if denominated in Dollars or shall bear interest at an alternate rate, if any, agreed upon by the applicable Borrower and the Swingline Lender, and each Swingline Loan shall bear interest at the ABR or at an alternate rate if agreed upon by the applicable Borrower and the Swingline Lender. The Administrative Agent will promptly advise the Swingline Lender of any such notice received from a Borrower. The Swingline Lender shall make each Swingline Loan available to the applicable Borrower, to the extent the Swingline Lender elects to make such Swingline Loan, by means of a credit to the general deposit account of such Borrower with the Swingline Lender (or, in the case of a Swingline Loan made to finance the reimbursement of an LC Disbursement as provided in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by remittance to the Issuing Bank) on the requested date of such Swingline Loan or by such other procedures as may be agreed upon from time to time between the Borrowers and the Swingline Lender.</w:t>
      </w:r>
    </w:p>
    <w:p>
      <w:pPr>
        <w:spacing w:after="0" w:line="159"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Swingline Lender may by written notice given to the Administrative Agent not later than 10:00 a.m., eastern time, on any Business Day require the Revolving Lenders to acquire participations on such Business Day in all or a portion of the Swingline Loans outstanding. Such notice shall specify the aggregate amount of Swingline Loans in which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4" w:name="page165"/>
    <w:bookmarkEnd w:id="164"/>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Revolving Lenders will participate. Promptly upon receipt of such notice, the Administrative Agent will give notice thereof to each Revolving Lender, specifying in such notice such Revolving Lender’s Applicable Percentage of such Swingline Loan or Loans. Each Revolving Lender hereby absolutely and unconditionally agrees, promptly upon receipt of notice as provided above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Revolving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with respect to Loans made by such Revolving Lender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xml:space="preserve">, to the payment obligations of the Revolving Lenders), and the Administrative Agent shall promptly pay to the Swingline Lender the amounts so received by it from the Revolving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a Borrower (or other party on behalf of a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payment so remitted shall be repaid to the Swingline Lender or to the Administrative Agent, as applicable, if and to the extent such payment is required to be refunded to the applicable Borrower for any reason. The purchase of participations in a Swingline Loan pursuant to this paragraph shall not relieve any Borrower of any default in the payment thereof.</w:t>
      </w:r>
    </w:p>
    <w:p>
      <w:pPr>
        <w:spacing w:after="0" w:line="160" w:lineRule="exact"/>
        <w:rPr>
          <w:sz w:val="20"/>
          <w:szCs w:val="20"/>
          <w:color w:val="auto"/>
        </w:rPr>
      </w:pPr>
    </w:p>
    <w:p>
      <w:pPr>
        <w:jc w:val="both"/>
        <w:ind w:firstLine="656"/>
        <w:spacing w:after="0" w:line="212" w:lineRule="auto"/>
        <w:tabs>
          <w:tab w:leader="none" w:pos="12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making of a Swingline Loan (whether before or after the occurrence of a Default), each Revolving Lender shall be deemed, without further action by any party hereto, to have unconditionally and irrevocably purchased from the Swingline Lender without recourse or warranty, an undivided interest and participation in such Swingline Loan in proportion to its Applicable Percentage of the Revolving Commitment. The Swingline Lender may, at any time, require the Revolving Lenders to fund their participations. From and after the date, if any, on which any Revolving Lender is required to fund its participation in any Swingline Loan purchased hereunder, such Swingline Loan shall bear interest at the Alternate Base Rate and the Administrative Agent shall promptly distribute to such Revolving Lender, such Revolving Lender’s Applicable Percentage of all payments of principal and interest received by the Administrative Agent in respect of such Loan.</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terms and conditions set forth herein, any Borrower may request the issuance of Letters of Credit denominated in any Agreed Currency as the applicant thereof for the support of its or its Restricted Subsidiaries’ obligations, in a form reasonably acceptable to the Administrative Agent and the Issuing Bank, at any time and from time to time during the Availability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Issuing Bank shall be under any obligation 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5" w:name="page166"/>
    <w:bookmarkEnd w:id="165"/>
    <w:p>
      <w:pPr>
        <w:jc w:val="both"/>
        <w:spacing w:after="0" w:line="211" w:lineRule="auto"/>
        <w:rPr>
          <w:sz w:val="20"/>
          <w:szCs w:val="20"/>
          <w:color w:val="auto"/>
        </w:rPr>
      </w:pPr>
      <w:r>
        <w:rPr>
          <w:rFonts w:ascii="Times New Roman" w:cs="Times New Roman" w:eastAsia="Times New Roman" w:hAnsi="Times New Roman"/>
          <w:sz w:val="22"/>
          <w:szCs w:val="22"/>
          <w:color w:val="auto"/>
        </w:rPr>
        <w:t>issue a Letter of Credit that would result in more than a total of twenty (20) Letters of Credit outstanding. In the event of any inconsistency between the terms and conditions of this Agreement and the terms and conditions of any form of letter of credit application or other agreement submitted by such Borrower to, or entered into by such Borrower with, the Issuing Bank relating to any Letter of Credit, the terms and conditions of this Agreement shall control. In addition, no letter of credit application or other agreement submitted by a Borrower to, or entered into by a Borrower with, the Issuing Bank relating to any Letter of Credit shall (x) contain any representations or warranties, covenants or events of default not set forth in this Agreement (and to the extent inconsistent herewith, shall be rendered null and void) and (y) all representations and warranties, covenants and events of default contained therein shall contain standards, qualifications, thresholds and exceptions for materiality or otherwise consistent with this Agreement (and, to the extent inconsistent herewith, shall be deemed to incorporate such standards, qualifications, thresholds and exceptions contained herein without action by any other party).</w:t>
      </w:r>
    </w:p>
    <w:p>
      <w:pPr>
        <w:spacing w:after="0" w:line="152" w:lineRule="exact"/>
        <w:rPr>
          <w:sz w:val="20"/>
          <w:szCs w:val="20"/>
          <w:color w:val="auto"/>
        </w:rPr>
      </w:pPr>
    </w:p>
    <w:p>
      <w:pPr>
        <w:jc w:val="both"/>
        <w:ind w:firstLine="656"/>
        <w:spacing w:after="0" w:line="207"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a Borrower shall hand deliver or telecopy (or transmit by electronic communication, including an Approved Borrower Portal, if arrangements for doing so have been approved by the respective Issuing Bank) to the Issuing Bank and the Administrative Agent (reasonably in advance of the requested date of issuance, amendment, renewal or extension, and in any event at least three Business Days prior to such requested date)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the amount and currency of such Letter of Credit, the name and address of the beneficiary thereof and such other information as shall be necessary to prepare, amend, renew or extend such Letter of Credit. If requested by the Issuing Bank, a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such Borrower shall be deemed to represent and warrant that), after giving effect to such issuance, amendment, renewal or extension (i) the Dollar Equivalent of LC Exposure shall not exceed $175,000,000, (ii) the Dollar Equivalent of any Lender’s Revolving Exposure shall not exceed the Dollar Equivalent of such Lender’s Revolving Commitment, (iii) the Dollar Equivalent of the total Revolving Exposures shall not exceed the aggregate Revolving Commitments and (iv) the Revolving Exposure of all Revolving Lenders in all Alternative Currencies shall not exceed the Alternative Currency Sublimit.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Borrowers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set forth in clauses (i) through (iv) of this Section 2.05(b).</w:t>
      </w:r>
    </w:p>
    <w:p>
      <w:pPr>
        <w:spacing w:after="0" w:line="18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Issuing Bank shall not be under any obligation to issue any Letter of Credit if: (i) any order, judgment or decree of any Governmental Authority or arbitrator shall by its terms purport to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22"/>
          <w:szCs w:val="22"/>
          <w:color w:val="auto"/>
        </w:rPr>
        <w:t>enjoin or restrain the Issuing Bank from issuing, amending or extending such Letter of Credit, or request that the Issuing Bank refrain from issuing, amending or extending such Letter of Credit, or any Requirement of Law relating to the Issuing Bank or any request or directive (whether or not having the force of law) from any Governmental Authority with jurisdiction over the Issuing Bank shall prohibit, the issuance, amendment or extension of letters of credit generally or such Letter of Credit in particular, or any such order, judgment, decree, Requirement of Law, request or directive shall impose upon the Issuing Bank with respect to such Letter of Credit any restriction, reserve or capital or liquidity requirement (for which the Issuing Bank is not otherwise compensated hereunder) not in effect on the Effective Date, or shall impose upon the Issuing Bank any unreimbursed loss, cost or expense that was not applicable on the Effective Date and that the Issuing Bank in good faith deems material to it; or (ii) the issuance, amendment or extension of such Letter of Credit would violate one or more policies of the Issuing Bank applicable to letters of credit generally.</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Each Existing Letter of Credit shall be deemed, for all purposes of this Agreement, to be a Letter of Credit issued hereunder on the Effective Date for the account of the Company.</w:t>
      </w:r>
    </w:p>
    <w:p>
      <w:pPr>
        <w:spacing w:after="0" w:line="131" w:lineRule="exact"/>
        <w:rPr>
          <w:sz w:val="20"/>
          <w:szCs w:val="20"/>
          <w:color w:val="auto"/>
        </w:rPr>
      </w:pPr>
    </w:p>
    <w:p>
      <w:pPr>
        <w:jc w:val="both"/>
        <w:ind w:firstLine="656"/>
        <w:spacing w:after="0" w:line="217" w:lineRule="auto"/>
        <w:tabs>
          <w:tab w:leader="none" w:pos="129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such later date as may be agreed to by the Issuing Bank (or, in the case of any renewal or extension thereof, one year after such renewal or extension) and (ii) the date that is five (5) Business Days prior to the Revolving Credit Maturity Date (unless cash collateralized in the manner described in </w:t>
      </w:r>
      <w:r>
        <w:rPr>
          <w:rFonts w:ascii="Times New Roman" w:cs="Times New Roman" w:eastAsia="Times New Roman" w:hAnsi="Times New Roman"/>
          <w:sz w:val="22"/>
          <w:szCs w:val="22"/>
          <w:u w:val="single" w:color="auto"/>
          <w:color w:val="auto"/>
        </w:rPr>
        <w:t>Section 2.05(j)</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By the issuance of a Letter of Credit (or an amendment to a Letter of Credit increasing the amount or extending the term thereof) and without any further action on the part of the Issuing Bank or the Revolving Lenders, the Issuing Bank hereby grants to each Revolving Lender, and each Revolving Lender hereby acquires from the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Revolving Lender’s Applicable Percentage of each LC Disbursement made by the Issuing Bank and not reimbursed by the applicable Borrower on the date due as provided in paragraph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or of any reimbursement payment required to be refunded to the applicable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6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If the Issuing Bank shall make any LC Disbursement in respect of a Letter of Credit, the applicable Borrower shall reimburse such LC Disbursement by paying to the Administrative Agent an amount in the currency of such LC Disbursement equal to such LC Disbursement (or, at the election of the Company or the Issuing Bank, in Dollars in the Dollar Equivalent of such LC Disbursement) not later than 10:00 a.m., eastern time, on the date that such LC Disbursement is made, if the applicable Borrower shall have received notice of such LC Disbursement prior to 8:00 a.m., eastern time, on such date, or, if such notice has not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7" w:name="page168"/>
    <w:bookmarkEnd w:id="167"/>
    <w:p>
      <w:pPr>
        <w:spacing w:after="0" w:line="226" w:lineRule="auto"/>
        <w:rPr>
          <w:sz w:val="20"/>
          <w:szCs w:val="20"/>
          <w:color w:val="auto"/>
        </w:rPr>
      </w:pPr>
      <w:r>
        <w:rPr>
          <w:rFonts w:ascii="Times New Roman" w:cs="Times New Roman" w:eastAsia="Times New Roman" w:hAnsi="Times New Roman"/>
          <w:sz w:val="21"/>
          <w:szCs w:val="21"/>
          <w:color w:val="auto"/>
        </w:rPr>
        <w:t>been received by such Borrower prior to such time on such date, then not later than 10:00 a.m., eastern time, on (i) the Business Day that such Borrower receives such notice, if such notice is received prior to 8:00 a.m., eastern time, on the day of receipt, or</w:t>
      </w:r>
    </w:p>
    <w:p>
      <w:pPr>
        <w:spacing w:after="0" w:line="1" w:lineRule="exact"/>
        <w:rPr>
          <w:sz w:val="20"/>
          <w:szCs w:val="20"/>
          <w:color w:val="auto"/>
        </w:rPr>
      </w:pPr>
    </w:p>
    <w:p>
      <w:pPr>
        <w:jc w:val="both"/>
        <w:ind w:firstLine="8"/>
        <w:spacing w:after="0" w:line="224" w:lineRule="auto"/>
        <w:tabs>
          <w:tab w:leader="none" w:pos="32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Business Day immediately following the day that such Borrower receives such notice, if such notice is not received prior to such time on the day of receipt;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Borrower may, subject to the conditions to borrowing set forth herein, request in accordance with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2.04</w:t>
      </w:r>
      <w:r>
        <w:rPr>
          <w:rFonts w:ascii="Times New Roman" w:cs="Times New Roman" w:eastAsia="Times New Roman" w:hAnsi="Times New Roman"/>
          <w:sz w:val="21"/>
          <w:szCs w:val="21"/>
          <w:color w:val="auto"/>
        </w:rPr>
        <w:t xml:space="preserve"> that such payment be converted into an equivalent amount of an ABR Revolving Borrowing or Swingline Loan denominated in Dollars in an amount equal to the Dollar Equivalent of such Agreed Currency, and, in each case, to the extent so financed, such Borrower’s obligation to make such payment shall be discharged and replaced by the resulting ABR Revolving Borrowing or Swingline Loan. If the applicable Borrower fails to make such payment when due, the Administrative Agent shall notify each Revolving Lender of the applicable LC Disbursement, the payment then due from such Borrower in respect thereof and such Revolving Lender’s Applicable Percentage thereof and the currency of such payment (which shall be the same currency as the applicable LC Disbursement or, at the election of the Company or the applicable Issuing Bank, shall be Dollars in the Dollar Equivalent of the applicable LC Disbursement). Promptly following receipt of such notice, each Revolving Lender shall pay to the Administrative Agent its Applicable Percentage of the payment then due from such Borrower in the same currency as the applicable LC Disbursement, in the same manner as provided in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with respect to Loans made by such Revolving Lender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Revolving Lenders), and the Administrative Agent shall promptly pay to the Issuing Bank the amounts so received by it from the Revolving Lenders. Promptly following receipt by the Administrative Agent of any payment from any Borrower pursuant to this paragraph, the Administrative Agent shall distribute such payment to the Issuing Bank or, to the extent that Revolving Lenders have made payments pursuant to this paragraph to reimburse the Issuing Bank, then to such Revolving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any Borrower of its obligation to reimburse such LC Disbursement. If any Borrower’s reimbursement of, or obligation to reimburse, any amounts in any Alternative Currency would subject the Administrative Agent, the Issuing Bank or any Revolving Lender to any stamp duty, ad valorem charge or similar tax that would not be payable if such reimbursement were made or required to be made in Dollars, solely to the extent such Borrower is otherwise required pursuant to the terms of this Agreement to reimburse the amount of such tax, the applicable Borrower shall, at its option, either (x) pay the amount of any such tax requested by the Administrative Agent, the Issuing Bank or the relevant Revolving Lender or (y) reimburse each LC Disbursement made in such Alternative Currency in Dollars, in an amount equal to the Dollar Equivalent thereof (as determined by the Administrative Agent or the Issuing Bank on the date such LC Disbursement is made), of such LC Disbursement.</w:t>
      </w:r>
    </w:p>
    <w:p>
      <w:pPr>
        <w:spacing w:after="0" w:line="154" w:lineRule="exact"/>
        <w:rPr>
          <w:rFonts w:ascii="Times New Roman" w:cs="Times New Roman" w:eastAsia="Times New Roman" w:hAnsi="Times New Roman"/>
          <w:sz w:val="21"/>
          <w:szCs w:val="21"/>
          <w:color w:val="auto"/>
        </w:rPr>
      </w:pPr>
    </w:p>
    <w:p>
      <w:pPr>
        <w:jc w:val="both"/>
        <w:ind w:firstLine="656"/>
        <w:spacing w:after="0" w:line="222" w:lineRule="auto"/>
        <w:tabs>
          <w:tab w:leader="none" w:pos="1296"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xml:space="preserve">. The applicable Borrower’s obligation to reimburse LC Disbursements as provided in paragraph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constitute a legal or equitable discharge of, or provide a right of setoff against, any Borrower’s obligations hereunder, or (v) any adverse change in the relevant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8" w:name="page169"/>
    <w:bookmarkEnd w:id="168"/>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exchange rates or in the availability of the relevant Alternative Currency to any Borrower or any Restricted Subsidiary or in the relevant currency markets generally. Neither the Administrative Agent, the Revolving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with regard to the conversion of foreign currency or otherwise or any consequence arising from causes beyond the control of the Issuing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be construed to excuse the Issuing Bank from liability to any Borrower to the extent of any direct damages (as opposed to special, indirect, consequential or punitive damages, claims in respect of which are hereby waived by each Borrower to the extent permitted by applicable law) suffered by such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judgment not subject to appeal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52" w:lineRule="exact"/>
        <w:rPr>
          <w:sz w:val="20"/>
          <w:szCs w:val="20"/>
          <w:color w:val="auto"/>
        </w:rPr>
      </w:pPr>
    </w:p>
    <w:p>
      <w:pPr>
        <w:jc w:val="both"/>
        <w:ind w:firstLine="656"/>
        <w:spacing w:after="0" w:line="213" w:lineRule="auto"/>
        <w:tabs>
          <w:tab w:leader="none" w:pos="129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The Issuing Bank shall, within the time allowed by applicable law or the specific terms of the Letter of Credit following its receipt thereof, examine all documents purporting to represent a demand for payment under a Letter of Credit. The Issuing Bank shall promptly after such examination notify the Administrative Agent and the applicable Borrower by telephone (confirmed by telecopy or through electronic mail) of such demand for payment and whether the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notice need not be given prior to payment by the Issuing Bank and any failure to give or delay in giving such notice shall not relieve any Borrower of its obligation to reimburse the Issuing Bank and the Revolving Lenders with respect to any such LC Disbursement.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the Issuing Bank shall make any LC Disbursement, then, unless the applicable Borrower shall reimburse such LC Disbursement in full in the currency thereof (or, at the election of the Company or the applicable Issuing Bank, in Dollars in the Dollar Equivalent amount of the applicable LC Disbursement) on the date such LC Disbursement is made, the unpaid amount thereof shall bear interest, for each day from and including the date such LC Disbursement is made to but excluding the date that the applicable Borrower reimburses such LC Disbursement, at the rate per annum then applicable to ABR Revolving Loans (or, in the case such LC Disbursement is denominated in an Alternative Currency, at the Overnight Rate for such Alternative Currency plus the then effective Applicable Margin with respect to Term Benchmark Loans) and such interest shall be due and payable on the date when such reimbursement is due;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applicable Borrower fails to reimburse such LC Disbursement when due pursuant to paragraph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 xml:space="preserve"> shall apply. Interest accrued pursuant to this paragraph shall be for the account of the Issuing Bank, except that interest accrued on and after the date of payment by any Revolving Lender pursuant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9" w:name="page170"/>
    <w:bookmarkEnd w:id="169"/>
    <w:p>
      <w:pPr>
        <w:spacing w:after="0" w:line="236" w:lineRule="auto"/>
        <w:rPr>
          <w:sz w:val="20"/>
          <w:szCs w:val="20"/>
          <w:color w:val="auto"/>
        </w:rPr>
      </w:pPr>
      <w:r>
        <w:rPr>
          <w:rFonts w:ascii="Times New Roman" w:cs="Times New Roman" w:eastAsia="Times New Roman" w:hAnsi="Times New Roman"/>
          <w:sz w:val="22"/>
          <w:szCs w:val="22"/>
          <w:color w:val="auto"/>
        </w:rPr>
        <w:t xml:space="preserve">to paragraph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to reimburse the Issuing Bank for such LC Disbursement shall be for the account of such Revolving Lender to the extent of such payment.</w:t>
      </w:r>
    </w:p>
    <w:p>
      <w:pPr>
        <w:spacing w:after="0" w:line="150"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the Issuing Bank</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4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Issuing Bank may be replaced at any time by written agreement among the Company, the Administrative Agent, the replaced Issuing Bank and the successor Issuing Bank. The Administrative Agent shall notify the Revolving Lenders of any such replacement of the Issuing Bank. At the time any such replacement shall become effective, the Company shall pay all unpaid fees accrued for the account of the replaced Issuing Bank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 as the context shall require. After the replacement of the Issuing Bank hereunder, the replaced Issuing Bank shall remain a party hereto and shall continue to have all the rights and obligations of the Issuing Bank under this Agreement with respect to Letters of Credit then outstanding issued by it prior to such replacement, but shall not be required to issue additional Letters of Credit or extend or otherwise amend any existing Letter of Credit.</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appointment and acceptance of a successor Issuing Bank reasonably acceptable to the Company, any Issuing Bank may resign as an Issuing Bank at any time upon thirty (30) days’ prior written notice to the Administrative Agent, the Company and the Revolving Lenders, in which case, such resigning Issuing Bank shall be replaced in accordance with </w:t>
      </w:r>
      <w:r>
        <w:rPr>
          <w:rFonts w:ascii="Times New Roman" w:cs="Times New Roman" w:eastAsia="Times New Roman" w:hAnsi="Times New Roman"/>
          <w:sz w:val="22"/>
          <w:szCs w:val="22"/>
          <w:u w:val="single" w:color="auto"/>
          <w:color w:val="auto"/>
        </w:rPr>
        <w:t>Section 2.05(i)(i)</w:t>
      </w:r>
      <w:r>
        <w:rPr>
          <w:rFonts w:ascii="Times New Roman" w:cs="Times New Roman" w:eastAsia="Times New Roman" w:hAnsi="Times New Roman"/>
          <w:sz w:val="22"/>
          <w:szCs w:val="22"/>
          <w:color w:val="auto"/>
        </w:rPr>
        <w:t xml:space="preserve"> above.</w:t>
      </w:r>
    </w:p>
    <w:p>
      <w:pPr>
        <w:spacing w:after="0" w:line="152" w:lineRule="exact"/>
        <w:rPr>
          <w:sz w:val="20"/>
          <w:szCs w:val="20"/>
          <w:color w:val="auto"/>
        </w:rPr>
      </w:pPr>
    </w:p>
    <w:p>
      <w:pPr>
        <w:jc w:val="both"/>
        <w:ind w:firstLine="656"/>
        <w:spacing w:after="0" w:line="218" w:lineRule="auto"/>
        <w:tabs>
          <w:tab w:leader="none" w:pos="1284"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If any Event of Default shall occur and be continuing, on the Business Day that the Company receives written notice from the Administrative Agent or the Required Revolving Lenders (or Revolving Lenders with LC Exposure representing greater than 50% of the total LC Exposure) demanding the deposit of cash collateral pursuant to this paragraph, the applicable Borrower shall deposit in an account with the Administrative Agent, in the name of the Administrative Agent and for the benefit of the Revolving Lenders (the “</w:t>
      </w:r>
      <w:r>
        <w:rPr>
          <w:rFonts w:ascii="Times New Roman" w:cs="Times New Roman" w:eastAsia="Times New Roman" w:hAnsi="Times New Roman"/>
          <w:sz w:val="21"/>
          <w:szCs w:val="21"/>
          <w:u w:val="single" w:color="auto"/>
          <w:color w:val="auto"/>
        </w:rPr>
        <w:t>LC Collateral Account</w:t>
      </w:r>
      <w:r>
        <w:rPr>
          <w:rFonts w:ascii="Times New Roman" w:cs="Times New Roman" w:eastAsia="Times New Roman" w:hAnsi="Times New Roman"/>
          <w:sz w:val="21"/>
          <w:szCs w:val="21"/>
          <w:color w:val="auto"/>
        </w:rPr>
        <w:t xml:space="preserve">”), an amount in cash equal to the LC Exposure in the applicable currencies thereof (or, at the election of the applicable Issuing Bank or the Company, in Dollars in the Dollar Equivalent thereof) as of such date plus accrued and unpaid interest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Such deposit shall be held by the Administrative Agent as collateral for the payment and performance of the Obligations. The Administrative Agent shall have exclusive dominion and control, including the exclusive right of withdrawal, over such account and each Borrower hereby grants the Administrative Agent a security interest in the LC Collateral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applicable Borrower for the LC Exposure at such time or, if the maturity of the Loans has been accelerated (but subject to the consent of Revolving Lenders with LC Exposure representing greater than 50% of the total LC Exposure), be applied to satisfy other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0" w:name="page171"/>
    <w:bookmarkEnd w:id="170"/>
    <w:p>
      <w:pPr>
        <w:spacing w:after="0" w:line="216" w:lineRule="auto"/>
        <w:rPr>
          <w:sz w:val="20"/>
          <w:szCs w:val="20"/>
          <w:color w:val="auto"/>
        </w:rPr>
      </w:pPr>
      <w:r>
        <w:rPr>
          <w:rFonts w:ascii="Times New Roman" w:cs="Times New Roman" w:eastAsia="Times New Roman" w:hAnsi="Times New Roman"/>
          <w:sz w:val="22"/>
          <w:szCs w:val="22"/>
          <w:color w:val="auto"/>
        </w:rPr>
        <w:t>Obligations. If any Borrower is required to provide an amount of cash collateral hereunder as a result of the occurrence of an Event of Default, such amount (to the extent not applied as aforesaid) shall be returned to the applicable Borrower within three</w:t>
      </w:r>
    </w:p>
    <w:p>
      <w:pPr>
        <w:spacing w:after="0" w:line="1" w:lineRule="exact"/>
        <w:rPr>
          <w:sz w:val="20"/>
          <w:szCs w:val="20"/>
          <w:color w:val="auto"/>
        </w:rPr>
      </w:pPr>
    </w:p>
    <w:p>
      <w:pPr>
        <w:ind w:left="320" w:hanging="312"/>
        <w:spacing w:after="0"/>
        <w:tabs>
          <w:tab w:leader="none" w:pos="3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all such Events of Defaults have been cured or waived.</w:t>
      </w:r>
    </w:p>
    <w:p>
      <w:pPr>
        <w:spacing w:after="0" w:line="155"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 Issued for Account of Restricted Subsidiaries</w:t>
      </w:r>
      <w:r>
        <w:rPr>
          <w:rFonts w:ascii="Times New Roman" w:cs="Times New Roman" w:eastAsia="Times New Roman" w:hAnsi="Times New Roman"/>
          <w:sz w:val="22"/>
          <w:szCs w:val="22"/>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Issuing Bank (whether arising by contract, at law, in equity or otherwise) against such Restricted Subsidiary in respect of such Letter of Credit, the applicable Borrower (i) shall reimburse, indemnify and compensate the applicable Issuing Bank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Restricted Subsidiary in respect of such Letter of Credit. Each Borrower hereby acknowledges that the issuance of such Letters of Credit for its Restricted Subsidiaries inures to the benefit of such Borrower, and that such Borrower’s business derives substantial benefits from the businesses of such Restricted Subsidiaries.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Funding of Borrowings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2"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shall make each Loan to be made by it hereunder on the proposed date thereof by wire transfer of immediately available funds by 11:00 a.m., eastern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Swingline Loans shall be made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The Administrative Agent will make such Loans available to the applicable Borrower by promptly crediting the amounts so received, in like funds, to an account of the applicable Borrower maintained with, and acceptable to, the Administrative Agent and designated by the applicable Borrower in the applicable Borrowing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ABR Revolving Loans made to finance the reimbursement of an LC Disbursement as provided in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xml:space="preserve"> shall be remitted by the Administrative Agent to the Issuing Bank.</w:t>
      </w:r>
    </w:p>
    <w:p>
      <w:pPr>
        <w:spacing w:after="0" w:line="156"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any Borrower, the interest rate applicable to ABR Loans or in the case of Alternative Currencies, in accordance with such market practice, in each case, as applicable. If such Lender pays such amount to the Administrative Agent, then such amount shall constitute such Lender’s Loan included in such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1" w:name="page172"/>
    <w:bookmarkEnd w:id="171"/>
    <w:p>
      <w:pPr>
        <w:jc w:val="both"/>
        <w:ind w:firstLine="656"/>
        <w:spacing w:after="0" w:line="220"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at its option may make any Loan to any Borrower by causing any domestic or foreign branch or Affiliate of such Lender to make such Loan (and in the case of an Affiliate, the provisions of Sections 2.13, 2.14, 2.15 and 2.16 shall apply to such Affiliate to the same extent as to such Lender); provided that any exercise of such option shall not affect the obligation of the relevant Borrower to repay such Loan in accordance with the terms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with respect to any matter under any of the Loan Documents relating to any Loan or Letter of Credit with respect to any Foreign Subsidiary Borrower, in any applicable jurisdiction, the Administrative Agent, the Issuing Bank or any Lender or any domestic or foreign branch or Affiliate of any such Lender used to make such Loans under Section 2.06(c) (a “</w:t>
      </w:r>
      <w:r>
        <w:rPr>
          <w:rFonts w:ascii="Times New Roman" w:cs="Times New Roman" w:eastAsia="Times New Roman" w:hAnsi="Times New Roman"/>
          <w:sz w:val="21"/>
          <w:szCs w:val="21"/>
          <w:u w:val="single" w:color="auto"/>
          <w:color w:val="auto"/>
        </w:rPr>
        <w:t>Designated Lender</w:t>
      </w:r>
      <w:r>
        <w:rPr>
          <w:rFonts w:ascii="Times New Roman" w:cs="Times New Roman" w:eastAsia="Times New Roman" w:hAnsi="Times New Roman"/>
          <w:sz w:val="21"/>
          <w:szCs w:val="21"/>
          <w:color w:val="auto"/>
        </w:rPr>
        <w:t>”) determines that any Requirement of Law has made it unlawful, or that any Governmental Authority has asserted that it is unlawful, for the Administrative Agent, the Issuing Bank or any Lender or its applicable Designated Lender to (i) perform any of its obligations hereunder or under any other Loan Document, (ii) to fund or maintain its participation in any Loan or (iii) issue, make, maintain, fund or charge interest with respect to any Loan or Letter of Credit, such Person shall promptly notify the Administrative Agent, then, upon the Administrative Agent notifying the Company, and until such notice by such Person is revoked, any obligation of such Person to issue, make, maintain, fund or charge interest with respect to any such Loan or Letter of Credit shall be suspended, and to the extent required by applicable Requirement of Law, cancelled. Upon receipt of such notice, the applicable Borrower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5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2"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initially shall be of the Type and Agreed Currency specified in the applicable Borrowing Request and, in the case of a Term Benchmark Borrowing, shall have an initial Interest Period as specified in such Borrowing Request. Thereafter, the applicable Borrower may elect to convert such Borrowing to a different Type or to continue such Borrowing and, in the case of a Term Benchmark Borrowing, may elect Interest Periods therefor, all as provided in this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shall not apply to Swingline Loan Borrowings, which may not be converted or continued.</w:t>
      </w:r>
    </w:p>
    <w:p>
      <w:pPr>
        <w:spacing w:after="0" w:line="156"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make an election pursuant to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the applicable Borrower shall notify the Administrative Agent of such election either in writing (delivered by hand or fax) by delivering an Interest Election Request signed by a Financial Officer of the applicable Borrower or through an Approved Borrower Portal, if arrangements for doing so have been approved by the Administrative Agent, by the time that a Borrowing Request would be required under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if such Borrower were requesting a Borrowing of the Type resulting from such election to be made on the effective date of such election;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Interest Election Request is submitted through an Approved Borrower Portal, the foregoing signature requirement may be waived at the sole discretion of the Administrative Agent. Each such Interest Election Request shall be irrevocable. Notwithstanding any contrary provision herein, this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xml:space="preserve"> shall not be construed to permit any Borrower to (i) elect an Interest Period for Term Benchmark Loans that does not comply with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(ii) convert any Borrowing to 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2" w:name="page173"/>
    <w:bookmarkEnd w:id="172"/>
    <w:p>
      <w:pPr>
        <w:spacing w:after="0" w:line="236" w:lineRule="auto"/>
        <w:rPr>
          <w:sz w:val="20"/>
          <w:szCs w:val="20"/>
          <w:color w:val="auto"/>
        </w:rPr>
      </w:pPr>
      <w:r>
        <w:rPr>
          <w:rFonts w:ascii="Times New Roman" w:cs="Times New Roman" w:eastAsia="Times New Roman" w:hAnsi="Times New Roman"/>
          <w:sz w:val="22"/>
          <w:szCs w:val="22"/>
          <w:color w:val="auto"/>
        </w:rPr>
        <w:t>Borrowing of a Type not available under the Class of Commitments pursuant to which such Borrowing was made, or (iii) change the currency of any Borrowing.</w:t>
      </w:r>
    </w:p>
    <w:p>
      <w:pPr>
        <w:spacing w:after="0" w:line="150"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Interest Election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Borrowing to be made pursuant to such Interest Election Request, which shall be a</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Business Day;</w:t>
      </w:r>
    </w:p>
    <w:p>
      <w:pPr>
        <w:spacing w:after="0" w:line="155" w:lineRule="exact"/>
        <w:rPr>
          <w:rFonts w:ascii="Times New Roman" w:cs="Times New Roman" w:eastAsia="Times New Roman" w:hAnsi="Times New Roman"/>
          <w:sz w:val="21"/>
          <w:szCs w:val="21"/>
          <w:color w:val="auto"/>
        </w:rPr>
      </w:pPr>
    </w:p>
    <w:p>
      <w:pPr>
        <w:jc w:val="both"/>
        <w:ind w:left="660" w:right="20" w:firstLine="644"/>
        <w:spacing w:after="0" w:line="225" w:lineRule="auto"/>
        <w:tabs>
          <w:tab w:leader="none" w:pos="195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(in the case of Borrowings in Dollars), a Term Benchmark Borrowing or an RFR Borrowing; provided that RFR Borrowings denominated in Dollars shall only be available by operation of Section 2.13; and</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131" w:lineRule="exact"/>
        <w:rPr>
          <w:sz w:val="20"/>
          <w:szCs w:val="20"/>
          <w:color w:val="auto"/>
        </w:rPr>
      </w:pPr>
    </w:p>
    <w:p>
      <w:pPr>
        <w:ind w:firstLine="656"/>
        <w:spacing w:after="0" w:line="236" w:lineRule="auto"/>
        <w:tabs>
          <w:tab w:leader="none" w:pos="129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applicable Class of the details thereof and of such Lender’s portion of each resulting Borrowing.</w:t>
      </w:r>
    </w:p>
    <w:p>
      <w:pPr>
        <w:spacing w:after="0" w:line="150"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applicable Borrower fails to deliver a timely Interest Election Request with respect to a Term Benchmark Borrowing in Dollars prior to the end of the Interest Period applicable thereto, then, unless such Borrowing is repaid as provided herein, at the end of such Interest Period such Borrowing shall be deemed to have an Interest Period that is one month. If the applicable Borrower fails to deliver a timely and complete Interest Election Request with respect to a Term Benchmark Borrowing in an Alternative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applicable Borrower, then, so long as an Event of Default is continuing (i) no outstanding Revolving Borrowing may be converted to or continued as a Term Benchmark Borrowing and (ii) unless repaid, (x) each Term Benchmark Borrowing and each RFR Borrowing, in each case denominated in Dollars, shall be converted to an ABR Borrowing at the end of the Interest Period applicable thereto (or promptly in the case of an RFR Borrowing) and (y) each Term Benchmark Borrowing and each RFR Borrowing, in each case denominated in an Alternative Currency, shall bear interest at the Central Bank Rate for the applicable Agreed Currency plus the CBR Spread at the end of the Interest Period applicable thereto (or promptly in the case of 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3" w:name="page174"/>
    <w:bookmarkEnd w:id="173"/>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RFR Borrowing);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the foregoing clause (y), if the Administrative Agent determines (which determination shall be conclusive and binding absent manifest error) that the Central Bank Rate for the applicable Agreed Currency cannot be determined, any outstanding affected Term Benchmark Loans denominated in such Alternative Currency shall either be (A) converted to an ABR Borrowing denominated in Dollars (in an amount equal to the Dollar Equivalent of such Alternative Currency) at the end of the Interest Period, as applicable, therefor (or promptly in the case of an RFR Borrowing) or</w:t>
      </w:r>
    </w:p>
    <w:p>
      <w:pPr>
        <w:spacing w:after="0" w:line="2" w:lineRule="exact"/>
        <w:rPr>
          <w:sz w:val="20"/>
          <w:szCs w:val="20"/>
          <w:color w:val="auto"/>
        </w:rPr>
      </w:pPr>
    </w:p>
    <w:p>
      <w:pPr>
        <w:jc w:val="both"/>
        <w:ind w:firstLine="8"/>
        <w:spacing w:after="0" w:line="214" w:lineRule="auto"/>
        <w:tabs>
          <w:tab w:leader="none" w:pos="36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prepaid in full at the end of the applicable Interest Period, as applicable (or promptly in the case of an RFR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 made by the applicable Borrower by the earlier of (I) the date that is three Business Days after receipt by the such Borrower of such notice and (II) the last day of the current Interest Period for the applicable Term Benchmark Loan, such Borrower shall be deemed to have elected clause (A) above.</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Termination and Reduction of Commitments; Incremental Facilities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previously terminated, all Revolving Commitments shall terminate on the Revolving Credit Maturity Date.</w:t>
      </w:r>
    </w:p>
    <w:p>
      <w:pPr>
        <w:spacing w:after="0" w:line="17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terminate the Revolving Commitments upon the Payment in Full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w:t>
      </w:r>
    </w:p>
    <w:p>
      <w:pPr>
        <w:spacing w:after="0" w:line="155"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from time to time reduce the Revolving Commitments; provided that (i) each reduction of the Revolving Commitments shall be in an amount that is an integral multiple of $1,000,000 and not less than $1,000,000 and (ii) the Company shall not terminate or reduce the Revolving Commitments if, after giving effect to any concurrent prepayment of the Revolving Loans, the aggregate Revolving Exposure of all Revolving Lenders exceeds the total Revolving Commitments.</w:t>
      </w:r>
    </w:p>
    <w:p>
      <w:pPr>
        <w:spacing w:after="0" w:line="150" w:lineRule="exact"/>
        <w:rPr>
          <w:rFonts w:ascii="Times New Roman" w:cs="Times New Roman" w:eastAsia="Times New Roman" w:hAnsi="Times New Roman"/>
          <w:sz w:val="21"/>
          <w:szCs w:val="21"/>
          <w:color w:val="auto"/>
        </w:rPr>
      </w:pPr>
    </w:p>
    <w:p>
      <w:pPr>
        <w:jc w:val="both"/>
        <w:ind w:firstLine="656"/>
        <w:spacing w:after="0" w:line="211" w:lineRule="auto"/>
        <w:tabs>
          <w:tab w:leader="none" w:pos="12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notify the Administrative Agent of any election to terminate or reduce the Revolving Commitments under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be irrevocable; provided that a notice of termination of the Revolving Commitments delivered by the Company may state that such notice is conditioned upon the effectiveness of other credit facilities or another transaction, in which case such notice may be revoked by the Company (by notice to the Administrative Agent on or prior to the specified effective date) if such condition is not satisfied. Any termination or reduction of the Revolving Commitments shall be permanent. Each reduction of the Revolving Commitments shall be made ratably among the Revolving Lenders in accordance with their respective Revolving Commitments.</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Incremental Facilities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4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obtain one or more (x) additional Revolving Commitments (each, an “</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which shall be in the form of an increase to (and constitute the same Class as) the then-existing Revolving Commitments and/or (y) tranches of unsecured term loans (or increase any existing Class of Incremental Term Loans) (each an “</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in each case by obtaining Incremental Revolving Commitments or commitments to make Incremental Term Loans (each, an “</w:t>
      </w:r>
      <w:r>
        <w:rPr>
          <w:rFonts w:ascii="Times New Roman" w:cs="Times New Roman" w:eastAsia="Times New Roman" w:hAnsi="Times New Roman"/>
          <w:sz w:val="22"/>
          <w:szCs w:val="22"/>
          <w:u w:val="single" w:color="auto"/>
          <w:color w:val="auto"/>
        </w:rPr>
        <w:t>Incremental Term Loan Commitment</w:t>
      </w:r>
      <w:r>
        <w:rPr>
          <w:rFonts w:ascii="Times New Roman" w:cs="Times New Roman" w:eastAsia="Times New Roman" w:hAnsi="Times New Roman"/>
          <w:sz w:val="22"/>
          <w:szCs w:val="22"/>
          <w:color w:val="auto"/>
        </w:rPr>
        <w:t xml:space="preserve">”), either from one or more of the Lenders or another Person (other than any Ineligible Institution) in the Company’s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any such Incremental Revolving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4" w:name="page175"/>
    <w:bookmarkEnd w:id="174"/>
    <w:p>
      <w:pPr>
        <w:jc w:val="both"/>
        <w:ind w:left="4"/>
        <w:spacing w:after="0" w:line="207" w:lineRule="auto"/>
        <w:rPr>
          <w:sz w:val="20"/>
          <w:szCs w:val="20"/>
          <w:color w:val="auto"/>
        </w:rPr>
      </w:pPr>
      <w:r>
        <w:rPr>
          <w:rFonts w:ascii="Times New Roman" w:cs="Times New Roman" w:eastAsia="Times New Roman" w:hAnsi="Times New Roman"/>
          <w:sz w:val="22"/>
          <w:szCs w:val="22"/>
          <w:color w:val="auto"/>
        </w:rPr>
        <w:t xml:space="preserve">Commitments, Incremental Term Loan Commitments or Incremental Term Loans shall be in a minimum amount of $5,000,000 (or such lesser amount as may be approved by the Administrative Agent), (B) immediately after giving effect (including giving effect on a Pro Forma Basis) to the incurrence of such Incremental Revolving Commitments, Incremental Term Loan Commitments or Incremental Term Loans (and assuming that all Incremental Revolving Commitments, Incremental Term Loan Commitments and Incremental Term Loans included in the applicable Incremental Facility are fully drawn), the sum of the total of all outstanding Incremental Equivalent Debt, all unused commitments in respect of Incremental Equivalent Debt, all Incremental Revolving Commitments, all unused Incremental Term Loan Commitments and all outstanding Incremental Term Loans does not exceed the Available Incremental Amount, (C) only in the case of any Incremental Revolving Commitments, the Administrative Agent, the Swingline Lender and the Issuing Bank, in each case, have approved the identity of any such new Lender, such approvals not to be unreasonably withheld, conditioned or delayed (provided that no such consent shall be required for a new Lender that, immediately prior to the incurrence of such Indebtedness, (x) is a Lender or an Affiliate of a Lender or is a financial institution listed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2.08</w:t>
      </w:r>
      <w:r>
        <w:rPr>
          <w:rFonts w:ascii="Times New Roman" w:cs="Times New Roman" w:eastAsia="Times New Roman" w:hAnsi="Times New Roman"/>
          <w:sz w:val="22"/>
          <w:szCs w:val="22"/>
          <w:color w:val="auto"/>
        </w:rPr>
        <w:t xml:space="preserve"> or is an Affiliate thereof (each of the foregoing, an “</w:t>
      </w:r>
      <w:r>
        <w:rPr>
          <w:rFonts w:ascii="Times New Roman" w:cs="Times New Roman" w:eastAsia="Times New Roman" w:hAnsi="Times New Roman"/>
          <w:sz w:val="22"/>
          <w:szCs w:val="22"/>
          <w:u w:val="single" w:color="auto"/>
          <w:color w:val="auto"/>
        </w:rPr>
        <w:t>Approved Lender</w:t>
      </w:r>
      <w:r>
        <w:rPr>
          <w:rFonts w:ascii="Times New Roman" w:cs="Times New Roman" w:eastAsia="Times New Roman" w:hAnsi="Times New Roman"/>
          <w:sz w:val="22"/>
          <w:szCs w:val="22"/>
          <w:color w:val="auto"/>
        </w:rPr>
        <w:t xml:space="preserve">”) and (y) other than any Approved Lender that is a Revolving Lender with a Revolving Commitment, has satisfied the requirements of </w:t>
      </w:r>
      <w:r>
        <w:rPr>
          <w:rFonts w:ascii="Times New Roman" w:cs="Times New Roman" w:eastAsia="Times New Roman" w:hAnsi="Times New Roman"/>
          <w:sz w:val="22"/>
          <w:szCs w:val="22"/>
          <w:u w:val="single" w:color="auto"/>
          <w:color w:val="auto"/>
        </w:rPr>
        <w:t>Section 2.08(e)(vi)</w:t>
      </w:r>
      <w:r>
        <w:rPr>
          <w:rFonts w:ascii="Times New Roman" w:cs="Times New Roman" w:eastAsia="Times New Roman" w:hAnsi="Times New Roman"/>
          <w:sz w:val="22"/>
          <w:szCs w:val="22"/>
          <w:color w:val="auto"/>
        </w:rPr>
        <w:t xml:space="preserve"> in a manner satisfactory to Administrative Agent), (D) any such new Lender assumes all of the rights and obligations of a “Lender” hereunder, (E) each such Incremental Facility shall be subject to and shall satisfy the Specified Debt Conditions and the conditions set forth in </w:t>
      </w:r>
      <w:r>
        <w:rPr>
          <w:rFonts w:ascii="Times New Roman" w:cs="Times New Roman" w:eastAsia="Times New Roman" w:hAnsi="Times New Roman"/>
          <w:sz w:val="22"/>
          <w:szCs w:val="22"/>
          <w:u w:val="single" w:color="auto"/>
          <w:color w:val="auto"/>
        </w:rPr>
        <w:t>Sections 2.08(e)(iii)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(e)(iv)</w:t>
      </w:r>
      <w:r>
        <w:rPr>
          <w:rFonts w:ascii="Times New Roman" w:cs="Times New Roman" w:eastAsia="Times New Roman" w:hAnsi="Times New Roman"/>
          <w:sz w:val="22"/>
          <w:szCs w:val="22"/>
          <w:color w:val="auto"/>
        </w:rPr>
        <w:t xml:space="preserve">, in each case, to the extent applicable, and (F) the procedures described in </w:t>
      </w:r>
      <w:r>
        <w:rPr>
          <w:rFonts w:ascii="Times New Roman" w:cs="Times New Roman" w:eastAsia="Times New Roman" w:hAnsi="Times New Roman"/>
          <w:sz w:val="22"/>
          <w:szCs w:val="22"/>
          <w:u w:val="single" w:color="auto"/>
          <w:color w:val="auto"/>
        </w:rPr>
        <w:t>Section 2.08(e)(ii)</w:t>
      </w:r>
      <w:r>
        <w:rPr>
          <w:rFonts w:ascii="Times New Roman" w:cs="Times New Roman" w:eastAsia="Times New Roman" w:hAnsi="Times New Roman"/>
          <w:sz w:val="22"/>
          <w:szCs w:val="22"/>
          <w:color w:val="auto"/>
        </w:rPr>
        <w:t xml:space="preserve"> have been satisfied. Nothing contained in this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xml:space="preserve"> shall constitute, or otherwise be deemed to be, a commitment on the part of any Lender to increase its Revolving Commitment or participate in any tranche of Incremental Term Loans hereunder at any time. The Company shall have no obligation to approach or offer any existing Lender to provide any Incremental Term Loan Commitment, Incremental Term Loan or Incremental Revolving Commitment.</w:t>
      </w:r>
    </w:p>
    <w:p>
      <w:pPr>
        <w:spacing w:after="0" w:line="168" w:lineRule="exact"/>
        <w:rPr>
          <w:sz w:val="20"/>
          <w:szCs w:val="20"/>
          <w:color w:val="auto"/>
        </w:rPr>
      </w:pPr>
    </w:p>
    <w:p>
      <w:pPr>
        <w:jc w:val="both"/>
        <w:ind w:left="4" w:firstLine="644"/>
        <w:spacing w:after="0" w:line="216" w:lineRule="auto"/>
        <w:tabs>
          <w:tab w:leader="none" w:pos="1294"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a condition precedent to such an increase of the Revolving Commitments or tranche of Incremental Term Loans or Incremental Term Loan Commitments, (A) the Company shall deliver to the Administrative Agent a certificate of each Loan Party signed by an authorized officer of such Loan Party (I) certifying and attaching the resolutions adopted by such Loan Party approving or consenting to such increase or tranche, and (II) subject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1.09</w:t>
      </w:r>
      <w:r>
        <w:rPr>
          <w:rFonts w:ascii="Times New Roman" w:cs="Times New Roman" w:eastAsia="Times New Roman" w:hAnsi="Times New Roman"/>
          <w:sz w:val="21"/>
          <w:szCs w:val="21"/>
          <w:color w:val="auto"/>
        </w:rPr>
        <w:t>, in the case of the Company, certifying as to the matters set forth in the following clause (B), (B) both before and immediately after giving effect (including giving effect on a Pro Forma Basis) to such increase or tranche, (I) the representations and warranties contained in Article III and the other Loan Documents are true and correct in all material respects (or in all respects in the case of any representation or warranty qualified by materiality or Material Adverse Effect), except to the extent that such representations and warranties specifically refer to an earlier date, in which case they are true and correct in all material respects (or in all respects in the case of any representation or warranty qualified by materiality or Material Adverse Effect) as of such earlier date, (II) no Default or Event of Default exists and</w:t>
      </w:r>
    </w:p>
    <w:p>
      <w:pPr>
        <w:spacing w:after="0" w:line="9" w:lineRule="exact"/>
        <w:rPr>
          <w:rFonts w:ascii="Times New Roman" w:cs="Times New Roman" w:eastAsia="Times New Roman" w:hAnsi="Times New Roman"/>
          <w:sz w:val="21"/>
          <w:szCs w:val="21"/>
          <w:color w:val="auto"/>
        </w:rPr>
      </w:pPr>
    </w:p>
    <w:p>
      <w:pPr>
        <w:jc w:val="both"/>
        <w:ind w:left="4" w:hanging="4"/>
        <w:spacing w:after="0" w:line="212" w:lineRule="auto"/>
        <w:tabs>
          <w:tab w:leader="none" w:pos="46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in compliance (on a Pro Forma Basis) with the covenants contained in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(which calculations shall assume that such Incremental Revolving Commitments and Incremental Term Loan Commitments are fully drawn and such tranche of Incremental Term Loans is fully funded, as applicable) and (C) the Company shall deliver to the Administrative Agent customary legal opinions and documents consistent with those delivered on the Effective Date (other than changes to</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319405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95" w:right="339" w:bottom="1440" w:gutter="0" w:footer="0" w:header="0"/>
        </w:sectPr>
      </w:pPr>
    </w:p>
    <w:bookmarkStart w:id="175" w:name="page176"/>
    <w:bookmarkEnd w:id="175"/>
    <w:p>
      <w:pPr>
        <w:spacing w:after="0" w:line="236" w:lineRule="auto"/>
        <w:rPr>
          <w:sz w:val="20"/>
          <w:szCs w:val="20"/>
          <w:color w:val="auto"/>
        </w:rPr>
      </w:pPr>
      <w:r>
        <w:rPr>
          <w:rFonts w:ascii="Times New Roman" w:cs="Times New Roman" w:eastAsia="Times New Roman" w:hAnsi="Times New Roman"/>
          <w:sz w:val="22"/>
          <w:szCs w:val="22"/>
          <w:color w:val="auto"/>
        </w:rPr>
        <w:t>legal opinions resulting from a change in counsel, change in law, change in fact or change in counsel’s form of opinion), to the extent requested by the Administrative Agent.</w:t>
      </w:r>
    </w:p>
    <w:p>
      <w:pPr>
        <w:spacing w:after="0" w:line="150" w:lineRule="exact"/>
        <w:rPr>
          <w:sz w:val="20"/>
          <w:szCs w:val="20"/>
          <w:color w:val="auto"/>
        </w:rPr>
      </w:pPr>
    </w:p>
    <w:p>
      <w:pPr>
        <w:ind w:left="1300" w:hanging="656"/>
        <w:spacing w:after="0"/>
        <w:tabs>
          <w:tab w:leader="none" w:pos="1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Incremental Revolving Commitments:</w:t>
      </w:r>
    </w:p>
    <w:p>
      <w:pPr>
        <w:spacing w:after="0" w:line="179" w:lineRule="exact"/>
        <w:rPr>
          <w:rFonts w:ascii="Times New Roman" w:cs="Times New Roman" w:eastAsia="Times New Roman" w:hAnsi="Times New Roman"/>
          <w:sz w:val="22"/>
          <w:szCs w:val="22"/>
          <w:color w:val="auto"/>
        </w:rPr>
      </w:pPr>
    </w:p>
    <w:p>
      <w:pPr>
        <w:jc w:val="both"/>
        <w:ind w:firstLine="1292"/>
        <w:spacing w:after="0" w:line="210" w:lineRule="auto"/>
        <w:tabs>
          <w:tab w:leader="none" w:pos="193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such Incremental Revolving Commitments shall be identical to the terms of the then existing Revolving Commitments (and, for the avoidance of doubt, evidenced by this Agreement) and shall be combined as a single ratable tranche with the then existing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Incremental Facility Amendment implementing any Incremental Revolving Commitments in accordance with this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xml:space="preserve"> may increase the interest rate margins, floor and fees (including unused line fees) payable in respect of the Revolving Commitments and Revolving Loans so long as any such increase is applied to all existing and newly established Revolving Commitments;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notwithstanding anything herein to the contrary, underwriting, arrangement, structuring, ticking, commitment, upfront or similar fees, and other fees payable in connection therewith that are not shared with all relevant lenders providing such Incremental Revolving Commitments, that may be agreed to among the Company and the lender(s) providing and/or arranging such Incremental Revolving Commitments may be paid in connection with such Incremental Revolving Commitments; and</w:t>
      </w:r>
    </w:p>
    <w:p>
      <w:pPr>
        <w:spacing w:after="0" w:line="157" w:lineRule="exact"/>
        <w:rPr>
          <w:rFonts w:ascii="Times New Roman" w:cs="Times New Roman" w:eastAsia="Times New Roman" w:hAnsi="Times New Roman"/>
          <w:sz w:val="22"/>
          <w:szCs w:val="22"/>
          <w:color w:val="auto"/>
        </w:rPr>
      </w:pPr>
    </w:p>
    <w:p>
      <w:pPr>
        <w:jc w:val="both"/>
        <w:ind w:firstLine="1292"/>
        <w:spacing w:after="0" w:line="209" w:lineRule="auto"/>
        <w:tabs>
          <w:tab w:leader="none" w:pos="193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effective date of any such increase, (x) any Lender providing an Incremental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(y) the Company shall be deemed to have repaid and reborrowed all outstanding Revolving Loans as of the date of any incurrence of Incremental Revolving Commitments (with such reborrowing to consist of the Types of Revolving Loans, with related Interest Periods if applicable, specified by the Company to the Administrative Agent). The deemed payments made pursuant to clause (y) of the immediately preceding sentence shall be accompanied by payment of all accrued interest on the amount prepaid and, in respect of each Term Benchmark Loan, shall be subject to indemnification by the Borrower pursuant to the provisions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if the deemed payment occurs other than on the last day of the related Interest Periods.</w:t>
      </w:r>
    </w:p>
    <w:p>
      <w:pPr>
        <w:spacing w:after="0" w:line="151"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Incremental Term Loans and Incremental Term Loan Commitments:</w:t>
      </w:r>
    </w:p>
    <w:p>
      <w:pPr>
        <w:spacing w:after="0" w:line="179" w:lineRule="exact"/>
        <w:rPr>
          <w:rFonts w:ascii="Times New Roman" w:cs="Times New Roman" w:eastAsia="Times New Roman" w:hAnsi="Times New Roman"/>
          <w:sz w:val="22"/>
          <w:szCs w:val="22"/>
          <w:color w:val="auto"/>
        </w:rPr>
      </w:pPr>
    </w:p>
    <w:p>
      <w:pPr>
        <w:ind w:firstLine="1292"/>
        <w:spacing w:after="0" w:line="236" w:lineRule="auto"/>
        <w:tabs>
          <w:tab w:leader="none" w:pos="193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Incremental Term Loans and Incremental Term Loan Commitments shall be evidenced by this Agreement, as amended in accordance with the terms hereof; and</w:t>
      </w:r>
    </w:p>
    <w:p>
      <w:pPr>
        <w:spacing w:after="0" w:line="150" w:lineRule="exact"/>
        <w:rPr>
          <w:rFonts w:ascii="Times New Roman" w:cs="Times New Roman" w:eastAsia="Times New Roman" w:hAnsi="Times New Roman"/>
          <w:sz w:val="22"/>
          <w:szCs w:val="22"/>
          <w:color w:val="auto"/>
        </w:rPr>
      </w:pPr>
    </w:p>
    <w:p>
      <w:pPr>
        <w:jc w:val="both"/>
        <w:ind w:firstLine="1292"/>
        <w:spacing w:after="0" w:line="225" w:lineRule="auto"/>
        <w:tabs>
          <w:tab w:leader="none" w:pos="193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Incremental Term Loans and Incremental Term Loan Commitments (I) shall rank pari passu in right of payment with the Revolving Loans and any other tranche of Incremental Term Loans or Incremental Term Loan Commitments hereunder, (II) may provide for the ability to participate on a pro rata basis or less than 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319405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95" w:right="339" w:bottom="1440" w:gutter="0" w:footer="0" w:header="0"/>
        </w:sectPr>
      </w:pPr>
    </w:p>
    <w:bookmarkStart w:id="176" w:name="page177"/>
    <w:bookmarkEnd w:id="176"/>
    <w:p>
      <w:pPr>
        <w:jc w:val="both"/>
        <w:ind w:left="4"/>
        <w:spacing w:after="0" w:line="222" w:lineRule="auto"/>
        <w:rPr>
          <w:sz w:val="20"/>
          <w:szCs w:val="20"/>
          <w:color w:val="auto"/>
        </w:rPr>
      </w:pPr>
      <w:r>
        <w:rPr>
          <w:rFonts w:ascii="Times New Roman" w:cs="Times New Roman" w:eastAsia="Times New Roman" w:hAnsi="Times New Roman"/>
          <w:sz w:val="21"/>
          <w:szCs w:val="21"/>
          <w:color w:val="auto"/>
        </w:rPr>
        <w:t>pro rata basis in any voluntary repayments or prepayments of principal of other Incremental Term Loans hereunder and on a pro rata basis or less than a pro rata basis (but, except as otherwise permitted by this Agreement, not on a greater than pro rata basis) in any mandatory repayments or prepayments of principal of other Incremental Term Loans hereunder and</w:t>
      </w:r>
    </w:p>
    <w:p>
      <w:pPr>
        <w:spacing w:after="0" w:line="2" w:lineRule="exact"/>
        <w:rPr>
          <w:sz w:val="20"/>
          <w:szCs w:val="20"/>
          <w:color w:val="auto"/>
        </w:rPr>
      </w:pPr>
    </w:p>
    <w:p>
      <w:pPr>
        <w:jc w:val="both"/>
        <w:ind w:left="4" w:hanging="4"/>
        <w:spacing w:after="0" w:line="224" w:lineRule="auto"/>
        <w:tabs>
          <w:tab w:leader="none" w:pos="42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be subject in all respects to </w:t>
      </w:r>
      <w:r>
        <w:rPr>
          <w:rFonts w:ascii="Times New Roman" w:cs="Times New Roman" w:eastAsia="Times New Roman" w:hAnsi="Times New Roman"/>
          <w:sz w:val="21"/>
          <w:szCs w:val="21"/>
          <w:u w:val="single" w:color="auto"/>
          <w:color w:val="auto"/>
        </w:rPr>
        <w:t>Section 2.08(e)(i)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except as otherwise expressly permitted under the definition of Specified Debt Conditions, the terms and conditions applicable to any tranche of such Incremental Term Loans or Incremental Term Loan Commitments maturing after the latest Maturity Date in effect at such time (including the maturity date of any other Incremental Term Loans or Incremental Term Loan Commitments (if any) outstanding at such time) may provide for material additional or different financial or other covenants or prepayment requirements applicable only during periods after such Maturity Date (or such later maturity date applicable to any other Incremental Term Loans or Incremental Term Loan Commitments (if any) outstanding at such time, as the case may be) and (y) subject to the immediately following proviso, such Incremental Term Loans may be priced differently than the Revolving Loans or other Incremental Term Loans or Incremental Term Loan Commitments hereunder (including, without limitation, interest margin, interest rate floors, original issue discount, underwriting, arrangement, unused line, structuring, ticking, commitment, upfront or similar fees, and other fees payable in connection therewith that may be agreed to among the Company and the lender(s) providing and/or arranging such Incremental Term Loans or Incremental Term Loan Commitments);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(1) if the Effective Yield in respect of such Incremental Term Loans or Incremental Term Loan Commitments as of the date of funding or effectiveness thereof exceeds the Effective Yield in respect of any other Incremental Term Loans or Incremental Term Loan Commitments by more than 0.50%, the Applicable Margin in respect of such Incremental Term Loans and Incremental Term Loan Commitments, as the case may be, shall be increased so that the Effective Yield in respect of such Incremental Term Loans and Incremental Term Loan Commitments, as applicable, is equal to the Effective Yield in respect of such Incremental Term Loans or Incremental Term Loan Commitments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0.50%, and (2) to the extent any change in the Effective Yield of any Incremental Term Loans or Incremental Term Loan Commitments is necessitated by the foregoing clause (1) on the basis of an effective interest rate floor in respect of such Incremental Term Loans or Incremental Term Loan Commitments, the increased Effective Yield in the applicable Incremental Term Loans and Incremental Term Loan Commitments, as applicable, shall (unless otherwise agreed in writing by the Company) have such increase in the Effective Yield effected solely by increases in the interest rate floor(s) applicable to such Incremental Term Loans and Incremental Term Loan Commitments, but only to the extent an increase in the interest rate floor in such Incremental Term Loans and Incremental Term Loan Commitments would cause an increase in the Benchmark then in effect for such Incremental Term Loans and Incremental Term Loan Commitments (this proviso, the “</w:t>
      </w:r>
      <w:r>
        <w:rPr>
          <w:rFonts w:ascii="Times New Roman" w:cs="Times New Roman" w:eastAsia="Times New Roman" w:hAnsi="Times New Roman"/>
          <w:sz w:val="21"/>
          <w:szCs w:val="21"/>
          <w:u w:val="single" w:color="auto"/>
          <w:color w:val="auto"/>
        </w:rPr>
        <w:t>MFN Provision</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jc w:val="both"/>
        <w:ind w:left="4" w:firstLine="644"/>
        <w:spacing w:after="0" w:line="212"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foregoing conditions, any Incremental Term Loan Commitments, Incremental Term Loans or Incremental Revolving Commitments shall be made hereunder pursuant to an amendment or amendment and restatement (an “</w:t>
      </w:r>
      <w:r>
        <w:rPr>
          <w:rFonts w:ascii="Times New Roman" w:cs="Times New Roman" w:eastAsia="Times New Roman" w:hAnsi="Times New Roman"/>
          <w:sz w:val="22"/>
          <w:szCs w:val="22"/>
          <w:u w:val="single" w:color="auto"/>
          <w:color w:val="auto"/>
        </w:rPr>
        <w:t>Incremental Facility Amendment</w:t>
      </w:r>
      <w:r>
        <w:rPr>
          <w:rFonts w:ascii="Times New Roman" w:cs="Times New Roman" w:eastAsia="Times New Roman" w:hAnsi="Times New Roman"/>
          <w:sz w:val="22"/>
          <w:szCs w:val="22"/>
          <w:color w:val="auto"/>
        </w:rPr>
        <w:t>”) of this Agreement and, as appropriate, the other Loan Documents, executed by the Company, each Lender participating in such tranche and the Administrative Agent. The Incremental Facility Amendment may, without the consent of any other Lenders, (x) effect such amendments to this Agreement and the other Loan Documents as may be necessary or appropriate, in the reasonable opinion of the Administrative Agent, to effect the provisions of this Section 2.08(e) and reflect the applicable Incremental Term Loans, Incremental Term Loan Commitments and/or Incremental Revolving Commitments, as applicable, and (y) to the extent set forth in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319405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95" w:right="339" w:bottom="1440" w:gutter="0" w:footer="0" w:header="0"/>
        </w:sectPr>
      </w:pPr>
    </w:p>
    <w:bookmarkStart w:id="177" w:name="page178"/>
    <w:bookmarkEnd w:id="177"/>
    <w:p>
      <w:pPr>
        <w:jc w:val="both"/>
        <w:ind w:left="660"/>
        <w:spacing w:after="0" w:line="209" w:lineRule="auto"/>
        <w:rPr>
          <w:sz w:val="20"/>
          <w:szCs w:val="20"/>
          <w:color w:val="auto"/>
        </w:rPr>
      </w:pPr>
      <w:r>
        <w:rPr>
          <w:rFonts w:ascii="Times New Roman" w:cs="Times New Roman" w:eastAsia="Times New Roman" w:hAnsi="Times New Roman"/>
          <w:sz w:val="22"/>
          <w:szCs w:val="22"/>
          <w:color w:val="auto"/>
        </w:rPr>
        <w:t xml:space="preserve">definition of Specified Debt Conditions and applicable to such Incremental Term Loans, Incremental Term Loan Commitments and/or Incremental Revolving Commitments, incorporate terms that would be favorable to existing Lenders of the applicable Class or Classes for the benefit of such existing Lenders of the applicable Class or Classes including, for the avoidance of doubt, any increase in the applicable yield relating to any existing Class of Incremental Term Loans to achieve fungibility for U.S. federal income tax purposes with any existing Class of Incremental Term Loans. In addition, if required to consummate any Incremental Term Loan, Incremental Term Loan Commitments or Incremental Revolving Commitments, the pricing, interest rate margins, rate floors, undrawn fees and premiums on the applicable Class of Loans being increased may be increased or extended but additional upfront fees, original issue discount or similar fees may be payable to the Lenders participating in any such Incremental Term Loan, Incremental Term Loan Commitments or Incremental Revolving Commitments without any requirement to pay such amounts to any existing Lenders. Within a reasonable time after the effective date of any increase or addition, the Administrative Agent shall, and is hereby authorized and directed to, revise the </w:t>
      </w:r>
      <w:r>
        <w:rPr>
          <w:rFonts w:ascii="Times New Roman" w:cs="Times New Roman" w:eastAsia="Times New Roman" w:hAnsi="Times New Roman"/>
          <w:sz w:val="22"/>
          <w:szCs w:val="22"/>
          <w:u w:val="single" w:color="auto"/>
          <w:color w:val="auto"/>
        </w:rPr>
        <w:t>Commitment Schedule</w:t>
      </w:r>
      <w:r>
        <w:rPr>
          <w:rFonts w:ascii="Times New Roman" w:cs="Times New Roman" w:eastAsia="Times New Roman" w:hAnsi="Times New Roman"/>
          <w:sz w:val="22"/>
          <w:szCs w:val="22"/>
          <w:color w:val="auto"/>
        </w:rPr>
        <w:t xml:space="preserve"> to reflect such increase or addition and shall distribute such revised </w:t>
      </w:r>
      <w:r>
        <w:rPr>
          <w:rFonts w:ascii="Times New Roman" w:cs="Times New Roman" w:eastAsia="Times New Roman" w:hAnsi="Times New Roman"/>
          <w:sz w:val="22"/>
          <w:szCs w:val="22"/>
          <w:u w:val="single" w:color="auto"/>
          <w:color w:val="auto"/>
        </w:rPr>
        <w:t>Commitment Schedule</w:t>
      </w:r>
      <w:r>
        <w:rPr>
          <w:rFonts w:ascii="Times New Roman" w:cs="Times New Roman" w:eastAsia="Times New Roman" w:hAnsi="Times New Roman"/>
          <w:sz w:val="22"/>
          <w:szCs w:val="22"/>
          <w:color w:val="auto"/>
        </w:rPr>
        <w:t xml:space="preserve"> to each of the Lenders and the Company, whereupon such revised </w:t>
      </w:r>
      <w:r>
        <w:rPr>
          <w:rFonts w:ascii="Times New Roman" w:cs="Times New Roman" w:eastAsia="Times New Roman" w:hAnsi="Times New Roman"/>
          <w:sz w:val="22"/>
          <w:szCs w:val="22"/>
          <w:u w:val="single" w:color="auto"/>
          <w:color w:val="auto"/>
        </w:rPr>
        <w:t>Commitment Schedule</w:t>
      </w:r>
      <w:r>
        <w:rPr>
          <w:rFonts w:ascii="Times New Roman" w:cs="Times New Roman" w:eastAsia="Times New Roman" w:hAnsi="Times New Roman"/>
          <w:sz w:val="22"/>
          <w:szCs w:val="22"/>
          <w:color w:val="auto"/>
        </w:rPr>
        <w:t xml:space="preserve"> shall replace the old </w:t>
      </w:r>
      <w:r>
        <w:rPr>
          <w:rFonts w:ascii="Times New Roman" w:cs="Times New Roman" w:eastAsia="Times New Roman" w:hAnsi="Times New Roman"/>
          <w:sz w:val="22"/>
          <w:szCs w:val="22"/>
          <w:u w:val="single" w:color="auto"/>
          <w:color w:val="auto"/>
        </w:rPr>
        <w:t>Commitment Schedule</w:t>
      </w:r>
      <w:r>
        <w:rPr>
          <w:rFonts w:ascii="Times New Roman" w:cs="Times New Roman" w:eastAsia="Times New Roman" w:hAnsi="Times New Roman"/>
          <w:sz w:val="22"/>
          <w:szCs w:val="22"/>
          <w:color w:val="auto"/>
        </w:rPr>
        <w:t xml:space="preserve"> and become part of this Agreement.</w:t>
      </w:r>
    </w:p>
    <w:p>
      <w:pPr>
        <w:spacing w:after="0" w:line="156" w:lineRule="exact"/>
        <w:rPr>
          <w:sz w:val="20"/>
          <w:szCs w:val="20"/>
          <w:color w:val="auto"/>
        </w:rPr>
      </w:pPr>
    </w:p>
    <w:p>
      <w:pPr>
        <w:jc w:val="both"/>
        <w:ind w:left="660" w:firstLine="644"/>
        <w:spacing w:after="0" w:line="215" w:lineRule="auto"/>
        <w:tabs>
          <w:tab w:leader="none" w:pos="19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Incremental Revolving Commitments, Incremental Term Loans or Incremental Term Loan Commitments pursuant to this Section 2.08(e), any new lending institution becoming a party hereto shall (A) execute such documents and agreements as the Administrative Agent may reasonably request and (B) provide to the Administrative Agent, its name, address, tax identification number and/or such other information as shall be necessary for the Administrative Agent to comply with “know your customer” and anti-money laundering rules and regulations, including without limitation, the USA PATRIOT Act.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above, with respect to the incurrence of any Incremental Term Loans or Incremental Term Loan Commitments to finance a Limited Condition Transaction (each a “</w:t>
      </w:r>
      <w:r>
        <w:rPr>
          <w:rFonts w:ascii="Times New Roman" w:cs="Times New Roman" w:eastAsia="Times New Roman" w:hAnsi="Times New Roman"/>
          <w:sz w:val="22"/>
          <w:szCs w:val="22"/>
          <w:u w:val="single" w:color="auto"/>
          <w:color w:val="auto"/>
        </w:rPr>
        <w:t>Limited Condition 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Incremental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clause (ii)(B)(I)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(ii)(B)(II)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xml:space="preserve"> shall be deemed to have been satisfied so long as (A) as of the date of consummation of the Limited Condition Transaction, no Specified Event of Default shall have occurred and be continuing or would result from the consummation of such Limited Condition Transaction, (B) as of the date of the borrowing of such Limited Condition Transaction Incremental Loan, no Specified Event of Default is in existence immediately before or after giving effect (including on a Pro Forma Basis) to such borrowing and to any concurrent transactions and any substantially concurrent use of proceeds thereof, (C) the representations and warranties set forth in </w:t>
      </w:r>
      <w:r>
        <w:rPr>
          <w:rFonts w:ascii="Times New Roman" w:cs="Times New Roman" w:eastAsia="Times New Roman" w:hAnsi="Times New Roman"/>
          <w:sz w:val="22"/>
          <w:szCs w:val="22"/>
          <w:u w:val="single" w:color="auto"/>
          <w:color w:val="auto"/>
        </w:rPr>
        <w:t>clause (ii)(B)(I)</w:t>
      </w:r>
      <w:r>
        <w:rPr>
          <w:rFonts w:ascii="Times New Roman" w:cs="Times New Roman" w:eastAsia="Times New Roman" w:hAnsi="Times New Roman"/>
          <w:sz w:val="22"/>
          <w:szCs w:val="22"/>
          <w:color w:val="auto"/>
        </w:rPr>
        <w:t xml:space="preserve"> above shall be tested as of the LCT Test Date and be true and correct in all material respects on and as of such LCT Test Date (other than those representations and warranties that by their terms speak as of a particular date, which representations and warranties shall be true and correct in all material respects as of such particular date), and (D) as of the date of the borrowing of such Limited Condition Transaction Incremental Loan, customary “Sungard” representations and warranties shall be included to the extent reasonably determined by Company and the Lenders providing such Limited Condition Transaction Incremental Loan.</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Repayment of Loans; Evidence of Debt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6" w:lineRule="auto"/>
        <w:tabs>
          <w:tab w:leader="none" w:pos="12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unconditionally promises to pay (i) to the Administrative Agent for the account of each Revolving Lender the then unpaid principal amount of each</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8" w:name="page179"/>
    <w:bookmarkEnd w:id="178"/>
    <w:p>
      <w:pPr>
        <w:jc w:val="both"/>
        <w:spacing w:after="0" w:line="215" w:lineRule="auto"/>
        <w:rPr>
          <w:sz w:val="20"/>
          <w:szCs w:val="20"/>
          <w:color w:val="auto"/>
        </w:rPr>
      </w:pPr>
      <w:r>
        <w:rPr>
          <w:rFonts w:ascii="Times New Roman" w:cs="Times New Roman" w:eastAsia="Times New Roman" w:hAnsi="Times New Roman"/>
          <w:sz w:val="22"/>
          <w:szCs w:val="22"/>
          <w:color w:val="auto"/>
        </w:rPr>
        <w:t>Revolving Loan on the Revolving Credit Maturity Date, and (ii) to the Swingline Lender the then unpaid principal amount of each Swingline Loan on the earliest of the Revolving Credit Maturity Date, the date three (3) Business Days after demand by the Swingline Lender in its discretion if no Default exists or the demand by the Swingline Lender in its discretion if a Default exists. Each Foreign Subsidiary Borrower hereby unconditionally promises to pay to the Administrative Agent for the account of each Revolving Lender the then unpaid principal amount of each Revolving Loan to such Foreign Subsidiary Borrower on the Revolving Credit Maturity Date.</w:t>
      </w:r>
    </w:p>
    <w:p>
      <w:pPr>
        <w:spacing w:after="0" w:line="152" w:lineRule="exact"/>
        <w:rPr>
          <w:sz w:val="20"/>
          <w:szCs w:val="20"/>
          <w:color w:val="auto"/>
        </w:rPr>
      </w:pPr>
    </w:p>
    <w:p>
      <w:pPr>
        <w:jc w:val="both"/>
        <w:ind w:firstLine="656"/>
        <w:spacing w:after="0" w:line="217"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Dollar Equivalent of the aggregate Revolving Exposure of all Revolving Lenders exceeds the aggregate Revolving Commitments, the Borrowers shall promptly, and in any event within one (1) Business Day, repay such excess. If any such excess remains after repayment in full of all outstanding Revolving Loans and Swingline Loans, the Borrowers shall provide cash collateral for the LC Exposure in the manner set forth in Section 2.05(j) to the extent required to eliminate such excess.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the Borrowers at any time that the aggregate amount of all Revolving Loans and LC Obligations denominated in Alternative Currencies at such time exceeds an amount equal to 105% of the Alternative Currency Sublimit then in effect, then, within two (2) Business Days after receipt of such notice, the Borrowers shall prepay Revolving Loans and/or cash collateralize Letters of Credit in accordance with Section 2.05(j), in an aggregate amount sufficient to reduce such amount as of such date of payment to an amount not to exceed 100% of the Alternative Currency Sublimit then in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the Class,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shall be </w:t>
      </w:r>
      <w:r>
        <w:rPr>
          <w:rFonts w:ascii="Times New Roman" w:cs="Times New Roman" w:eastAsia="Times New Roman" w:hAnsi="Times New Roman"/>
          <w:sz w:val="22"/>
          <w:szCs w:val="22"/>
          <w:u w:val="single" w:color="auto"/>
          <w:color w:val="auto"/>
        </w:rPr>
        <w:t>prima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facie</w:t>
      </w:r>
      <w:r>
        <w:rPr>
          <w:rFonts w:ascii="Times New Roman" w:cs="Times New Roman" w:eastAsia="Times New Roman" w:hAnsi="Times New Roman"/>
          <w:sz w:val="22"/>
          <w:szCs w:val="22"/>
          <w:color w:val="auto"/>
        </w:rPr>
        <w:t xml:space="preserve"> evidence of the existence and amounts of the obligations recorded therein absent manifest error;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 conflict between such records and the Register, the Register shall control absent manifest error;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request that Loans made by it be evidenced by a promissory note. In such event, the applicable Borrower shall prepare, execute and deliver to such Lender a promissory note payable to the order of such Lender (or, if requested by such Lender, to such Lender and its registered assigns) and in a form reasonably acceptable to the Administrative Agent. Thereafter, the Loans evidenced by such promissory note and interest thereon shall at all times (including after assignment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be represented by one or more promissory notes in such form payable to the order of the payee named therein (or, if such promissory note is a registered note, to such payee and its registered assigns).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Prepayment of Loans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9" w:name="page180"/>
    <w:bookmarkEnd w:id="179"/>
    <w:p>
      <w:pPr>
        <w:jc w:val="both"/>
        <w:ind w:firstLine="656"/>
        <w:spacing w:after="0" w:line="225" w:lineRule="auto"/>
        <w:tabs>
          <w:tab w:leader="none" w:pos="1293"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shall have the right at any time and from time to time to prepay any Borrowing in whole or in part without premium or penalty but subject to break funding payments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subject to prior notice in accordance with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Borrower shall notify the Administrative Agent (and, in the case of prepayment of a Swingline Loan, the Swingline Lender) by telephone (confirmed by telecopy or electronic communication, including an Approved Borrower Portal, if arrangements for doing so have been approved by the Administrative Agent) of any prepayment hereunder (i)</w:t>
      </w:r>
    </w:p>
    <w:p>
      <w:pPr>
        <w:spacing w:after="0" w:line="1" w:lineRule="exact"/>
        <w:rPr>
          <w:rFonts w:ascii="Times New Roman" w:cs="Times New Roman" w:eastAsia="Times New Roman" w:hAnsi="Times New Roman"/>
          <w:sz w:val="21"/>
          <w:szCs w:val="21"/>
          <w:color w:val="auto"/>
        </w:rPr>
      </w:pPr>
    </w:p>
    <w:p>
      <w:pPr>
        <w:jc w:val="both"/>
        <w:ind w:firstLine="8"/>
        <w:spacing w:after="0" w:line="217" w:lineRule="auto"/>
        <w:tabs>
          <w:tab w:leader="none" w:pos="36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prepayment of (1) a Term Benchmark Revolving Borrowing denominated in Dollars, not later than 11:00 a.m., New York City time, three U.S. Government Securities Business Days before the date of prepayment or (2) an RFR Revolving Borrowing denominated in Dollars, not later than 11:00 a.m., New York City time, five RFR Business Days before the date of prepayment, (x) in the case of prepayment of a Term Benchmark Revolving Borrowing denominated in Euros, not later than 12:00 p.m., New York City time, three Business Days before the date of prepayment and (y) in the case of prepayment of an RFR Revolving Borrowing denominated in Sterling, not later than 11:00 a.m., New York City time, five RFR Business Days before the date of prepayment or (ii) in the case of prepayment of an ABR Revolving Borrowing, not later than 11:00 a.m., New York City time, one Business Day before the date of prepayment or (iii) in the case of prepayment of a Swingline Loan,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notice of prepayment is given in connection with a conditional notice of termination of the Revolving Commitments or other transactions as contemplated by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then such notice of prepayment may be revoked if such notice of termination is revoked in accordance with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Promptly following receipt of any such notice or prepayment or termination,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in the case of any Loan that may not be requested pursuant to Section 2.02, in such amount that would be permitted in the case of an advance of a Revolving Borrowing of the same currency as provided in Section 2.02). Each prepayment of a Revolving Borrowing shall be applied ratably to the Revolving Loans included in the prepaid Borrowing.</w:t>
      </w:r>
    </w:p>
    <w:p>
      <w:pPr>
        <w:spacing w:after="0" w:line="149" w:lineRule="exact"/>
        <w:rPr>
          <w:rFonts w:ascii="Times New Roman" w:cs="Times New Roman" w:eastAsia="Times New Roman" w:hAnsi="Times New Roman"/>
          <w:sz w:val="21"/>
          <w:szCs w:val="21"/>
          <w:color w:val="auto"/>
        </w:rPr>
      </w:pPr>
    </w:p>
    <w:p>
      <w:pPr>
        <w:jc w:val="both"/>
        <w:ind w:firstLine="656"/>
        <w:spacing w:after="0" w:line="209" w:lineRule="auto"/>
        <w:tabs>
          <w:tab w:leader="none" w:pos="1293"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and on each occasion that any Net Proceeds are received by or on behalf of any Loan Party or any Restricted Subsidiary in respect of any Disposition made in reliance on </w:t>
      </w:r>
      <w:r>
        <w:rPr>
          <w:rFonts w:ascii="Times New Roman" w:cs="Times New Roman" w:eastAsia="Times New Roman" w:hAnsi="Times New Roman"/>
          <w:sz w:val="22"/>
          <w:szCs w:val="22"/>
          <w:u w:val="single" w:color="auto"/>
          <w:color w:val="auto"/>
        </w:rPr>
        <w:t>Section 6.03(a)(xxv)</w:t>
      </w:r>
      <w:r>
        <w:rPr>
          <w:rFonts w:ascii="Times New Roman" w:cs="Times New Roman" w:eastAsia="Times New Roman" w:hAnsi="Times New Roman"/>
          <w:sz w:val="22"/>
          <w:szCs w:val="22"/>
          <w:color w:val="auto"/>
        </w:rPr>
        <w:t xml:space="preserve">, the Company shall prepay on or prior to the date which is five (5) Business Days after the date of the realization or receipt of such Net Proceeds, an aggregate principal amount of the Obligations equal to at least 75% of all such Net Proceeds realized or received, which prepayment shall be applied as set forth in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the time that any such prepayment would be required, any Loan Party or any Restricted Subsidiary is required to repay, redeem or repurchase or offer to repay, redeem or repurchase Indebtedness (other than Subordinated Debt) pursuant to the terms of the documentation governing or evidencing such Indebtedness with the net proceeds of such Disposition (such Indebtedness required to be repaid, redeemed or repurchased or offered to be so repurchased, “</w:t>
      </w:r>
      <w:r>
        <w:rPr>
          <w:rFonts w:ascii="Times New Roman" w:cs="Times New Roman" w:eastAsia="Times New Roman" w:hAnsi="Times New Roman"/>
          <w:sz w:val="22"/>
          <w:szCs w:val="22"/>
          <w:u w:val="single" w:color="auto"/>
          <w:color w:val="auto"/>
        </w:rPr>
        <w:t>Other Applicable Indebtedness</w:t>
      </w:r>
      <w:r>
        <w:rPr>
          <w:rFonts w:ascii="Times New Roman" w:cs="Times New Roman" w:eastAsia="Times New Roman" w:hAnsi="Times New Roman"/>
          <w:sz w:val="22"/>
          <w:szCs w:val="22"/>
          <w:color w:val="auto"/>
        </w:rPr>
        <w:t xml:space="preserve">”), then the applicable Loan Party or applicable Restricted Subsidiary may apply such Net Proceeds on a pro rata basis (determined on the basis of the aggregate outstanding principal amount of the Obligations and Other Applicable Indebtedness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Obligations in accordance with the terms hereof) (or less than pro rata basis in the case of such Other Applicable Indebtedness) to the prepayment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0" w:name="page181"/>
    <w:bookmarkEnd w:id="180"/>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of the Obligations and to the repurchase, redemption or prepayment of Other Applicable Indebtedness, and the amount of prepayment of the Obligations that would have otherwise been required pursuant to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shall be reduced accordingly;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the holders of Other Applicable Indebtedness decline to have such Indebtedness repurchased, redeemed or prepaid, the declined amount shall promptly (and in any event within five (5) Business Days after the date of such rejection) be applied to prepay the Obligations in accordance with the terms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prepayment shall be required pursuant to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with respect to such portion of such Net Proceeds that the Company shall have, on or prior to the applicable date that prepayment of the Obligations would have otherwise been required pursuant to this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given written notice to the Administrative Agent of its intent to reinvest in accordance with the following paragraph.</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with respect to any Net Proceeds realized or received with respect to any Disposition made in reliance on Section 6.03(a)(xxv), at the option of the Company by written notice to the Administrative Agent, the Company may reinvest all or any portion of such Net Proceeds in assets useful for its or any of its Restricted Subsidiary’s business within 180 days following receipt of such Net Proceeds so long as no Event of Default then exists or would result therefrom (the foregoing period being referred to as a “</w:t>
      </w:r>
      <w:r>
        <w:rPr>
          <w:rFonts w:ascii="Times New Roman" w:cs="Times New Roman" w:eastAsia="Times New Roman" w:hAnsi="Times New Roman"/>
          <w:sz w:val="22"/>
          <w:szCs w:val="22"/>
          <w:u w:val="single" w:color="auto"/>
          <w:color w:val="auto"/>
        </w:rPr>
        <w:t>Reinvestment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Net Proceeds are no longer intended to be or cannot be so reinvested at any time after delivery of a notice of reinvestment election, an amount equal to any such Net Proceeds shall be applied to the prepayment of the Obligations as set forth in Section 2.10(d) within five (5) Business Days after the earlier of (I) the end of the applicable Reinvestment Period and (II) such time that the Company reasonably determines that such Net Proceeds are no longer intended to be or cannot be so reinvested.</w:t>
      </w:r>
    </w:p>
    <w:p>
      <w:pPr>
        <w:spacing w:after="0" w:line="153" w:lineRule="exact"/>
        <w:rPr>
          <w:sz w:val="20"/>
          <w:szCs w:val="20"/>
          <w:color w:val="auto"/>
        </w:rPr>
      </w:pPr>
    </w:p>
    <w:p>
      <w:pPr>
        <w:jc w:val="both"/>
        <w:ind w:firstLine="656"/>
        <w:spacing w:after="0" w:line="227" w:lineRule="auto"/>
        <w:tabs>
          <w:tab w:leader="none" w:pos="1291"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prepayments required to be made pursuant to Section 2.10(c) shall be applied as follows: (i) first, to prepay any Incremental Term Loans outstanding under this Agreement ratably across all Classes of such Incremental Term Loans and, within each such Class, shall be applied pro rata to all remaining scheduled installments of principal of such Class of Incremental Term Loans,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prepay outstanding Revolving Loans and Swingline Loans ratably without a corresponding reduction in the Revolving Commitments, and (iii)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cash collateralize 103% of the outstanding LC Exposure.</w:t>
      </w:r>
    </w:p>
    <w:p>
      <w:pPr>
        <w:spacing w:after="0" w:line="1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05" w:lineRule="auto"/>
        <w:tabs>
          <w:tab w:leader="none" w:pos="129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the account of each Revolving Lender a commitment fee, which shall accrue at the rate equal to the Applicable Margin per annum on the daily unused amount of the Available Commitment of such Lender during the period from and including the Effective Date to but excluding the date on which the Lenders’ Revolving Commitments terminate. Accrued commitment fees shall be payable in arrears on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such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spacing w:after="0" w:line="156"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1"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pay (i) to the Administrative Agent for the account of each Revolving Lender a participation fee with respect to its participations in Letters of Credit, which shall accrue at the same Applicable Margin used to determine the interest rate applicable to Term Benchmark Revolving Loans on the Dollar Equivalent of the daily amount of such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05" w:lineRule="auto"/>
        <w:rPr>
          <w:sz w:val="20"/>
          <w:szCs w:val="20"/>
          <w:color w:val="auto"/>
        </w:rPr>
      </w:pPr>
      <w:r>
        <w:rPr>
          <w:rFonts w:ascii="Times New Roman" w:cs="Times New Roman" w:eastAsia="Times New Roman" w:hAnsi="Times New Roman"/>
          <w:sz w:val="22"/>
          <w:szCs w:val="22"/>
          <w:color w:val="auto"/>
        </w:rPr>
        <w:t>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Issuing Bank a fronting fee, which shall accrue at the rate of 0.125% per annum (or such other rate as agreed between the applicable Borrower and the applicable Issuing Bank) on the Dollar Equivalent the daily amount of the LC Exposure (excluding any portion thereof attributable to unreimbursed LC Disbursements) during the period from and including the Effective Date to but excluding the later of the date of termination of the Revolving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such last day,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10 days after written demand. All participation fees and fronting fees shall be computed on the basis of a year of 360 days and shall be payable for the actual number of days elapsed (including the first day but excluding the last day).</w:t>
      </w:r>
    </w:p>
    <w:p>
      <w:pPr>
        <w:spacing w:after="0" w:line="156" w:lineRule="exact"/>
        <w:rPr>
          <w:sz w:val="20"/>
          <w:szCs w:val="20"/>
          <w:color w:val="auto"/>
        </w:rPr>
      </w:pPr>
    </w:p>
    <w:p>
      <w:pPr>
        <w:ind w:firstLine="656"/>
        <w:spacing w:after="0" w:line="236" w:lineRule="auto"/>
        <w:tabs>
          <w:tab w:leader="none" w:pos="129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its own account, fees payable in the amounts and at the times separately agreed upon between the Company and the Administrative Agent.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in Dollars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656"/>
        <w:spacing w:after="0" w:line="225"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ABR Borrowing (including each Swingline Loan, other than any Swingline Loan for which an alternate interest rate is agreed upon between the applicable Borrower and Swingline Lender, which shall bear interest at such rate) shall bear interest at the Alternate Base Rate plus the Applicable Margin.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Term Benchmark Borrowing shall bear interest in the case of a Term Benchmark Revolving Loan, at the Term SOFR Rate or the Adjusted EURIBOR Rate, as applicable, for the Interest Period in effect for such Borrowing plus the Applicable Margin.</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RFR Loan shall bear interest at a rate per annum equal to the applicable Daily Simple RFR plus the Applicable Margin.</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upon and during the continuance of an Event of Default, at the election of the Administrative Agent or Required Lenders, upon written notice to the Company, the interest rates applicable to Loans and the rate at which fees payable to all Lenders accrue on Letters of Credit shall be increased by 2.0% per annum.</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shall be payable in arrears in the same Agreed Currency as the applicable Loan on each Interest Payment Date for such Loan and, in the case of Revolving Loans, upon termination of the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2" w:name="page183"/>
    <w:bookmarkEnd w:id="182"/>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accrued pursuant to paragraph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52" w:lineRule="exact"/>
        <w:rPr>
          <w:sz w:val="20"/>
          <w:szCs w:val="20"/>
          <w:color w:val="auto"/>
        </w:rPr>
      </w:pPr>
    </w:p>
    <w:p>
      <w:pPr>
        <w:jc w:val="both"/>
        <w:ind w:firstLine="656"/>
        <w:spacing w:after="0" w:line="212" w:lineRule="auto"/>
        <w:tabs>
          <w:tab w:leader="none" w:pos="129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provided that interest computed by reference to the Daily Simple RFR with respect to Sterling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Term SOFR Rate, Daily Simple SOFR, Adjusted EURIBOR Rate, EURIBOR Rate, Central Bank Rate or Daily Simple RFR shall be determined by the Administrative Agent, and such determination shall be conclusive absent manifest error.</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Alternate Rate of Interest; Illegality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clauses (b), (c), (d), (e) and (f) of this Section 2.13, if:</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and binding absent manifest error) (A) prior to the commencement of any Interest Period for a Term Benchmark Borrowing, that adequate and reasonable means do not exist for ascertaining the Term SOFR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Lenders that (A) prior to the commencement of any Interest Period for a Term Benchmark Borrowing, the Term SOFR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RFR for the applicable Agreed Currency will not adequately and fairly reflect the cost to such Lenders (or Lender) of making or maintaining their Loans (or its Loan) included in such Borrowing for the applicable Agreed Currency;</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then the Administrative Agent shall give notice thereof to the Borrowers and the Lenders by telephone, telecopy or electronic mail as promptly as practicable thereafter and, until (x) the Administrative Agent notifies the Borrowers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(1) any Interest Election Request that requests the conversion of any Revolving Borrowing to, or continuation of any Revolving Borrowing as, a Term Benchmark</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3" w:name="page184"/>
    <w:bookmarkEnd w:id="183"/>
    <w:p>
      <w:pPr>
        <w:jc w:val="both"/>
        <w:spacing w:after="0" w:line="262" w:lineRule="auto"/>
        <w:rPr>
          <w:sz w:val="20"/>
          <w:szCs w:val="20"/>
          <w:color w:val="auto"/>
        </w:rPr>
      </w:pPr>
      <w:r>
        <w:rPr>
          <w:rFonts w:ascii="Times New Roman" w:cs="Times New Roman" w:eastAsia="Times New Roman" w:hAnsi="Times New Roman"/>
          <w:sz w:val="21"/>
          <w:szCs w:val="21"/>
          <w:color w:val="auto"/>
        </w:rPr>
        <w:t>Borrowing and any Borrowing Request that requests a Term Benchmark Revolving Borrowing shall instead be deemed to be an Interest Election Request or a Borrowing Request, as applicable, for (x) an RFR Borrowing denominated in Dollars so long as the Daily Simple RFR for Dollar Borrowings is not also the subject of Section 2.13(a)(i) or (ii) above or (y) an ABR Borrowing if the Daily Simple RFR for Dollar Borrowings also is the subject of Section 2.13(a)(i) or (ii) above and (2) any Borrowing Request that requests an RFR Borrowing shall instead be deemed to be a Borrowing Request, as applicable, for an ABR Borrowing and</w:t>
      </w:r>
    </w:p>
    <w:p>
      <w:pPr>
        <w:spacing w:after="0" w:line="2" w:lineRule="exact"/>
        <w:rPr>
          <w:sz w:val="20"/>
          <w:szCs w:val="20"/>
          <w:color w:val="auto"/>
        </w:rPr>
      </w:pPr>
    </w:p>
    <w:p>
      <w:pPr>
        <w:jc w:val="both"/>
        <w:ind w:firstLine="8"/>
        <w:spacing w:after="0" w:line="247" w:lineRule="auto"/>
        <w:tabs>
          <w:tab w:leader="none" w:pos="39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Loans denominated in an Alternative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Borrowings, then all other Types of Borrowings shall be permitted.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Furthermore, if any Term Benchmark Loan or RFR Loan in any Agreed Currency is outstanding on the date of the Borrowers’ receipt of the notice from the Administrative Agent referred to in this Section 2.13(a) with respect to a Relevant Rate applicable to such Term Benchmark Loan or RFR Loan, then until (x) the Administrative Agent notifies the Borrowers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w:t>
      </w:r>
    </w:p>
    <w:p>
      <w:pPr>
        <w:spacing w:after="0" w:line="154" w:lineRule="exact"/>
        <w:rPr>
          <w:sz w:val="20"/>
          <w:szCs w:val="20"/>
          <w:color w:val="auto"/>
        </w:rPr>
      </w:pPr>
    </w:p>
    <w:p>
      <w:pPr>
        <w:jc w:val="both"/>
        <w:ind w:left="660" w:firstLine="1292"/>
        <w:spacing w:after="0" w:line="215" w:lineRule="auto"/>
        <w:tabs>
          <w:tab w:leader="none" w:pos="259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Loans denominated in Dollars, (1) any Term Benchmark Loan shall on the last day of the Interest Period applicable to such Loan, be converted by the Administrative Agent to, and shall constitute, (x) an RFR Borrowing denominated in Dollars so long as the Daily Simple RFR for Dollar Borrowings is not also the subject of Section 2.13(a)(i) or (ii) above or (y) an ABR Loan if the Daily Simple RFR for Dollar Borrowings also is the subject of Section 2.13(a)(i) or (ii) above, on such day, and (2) any RFR Loan shall on and from such day be converted by the Administrative Agent to, and shall constitute an ABR Loan;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5"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Term Benchmark Loan denominated in an Alternative Currency shall, on the last day of the Interest Period applicable to such Loan bear interest at the Central Bank Rate for the applicable Alternative Currency plus the CBR Spread;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applicable Borrower’s election prior to such day: (1) be prepaid by the applicable Borrower on such day or (2)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w:t>
      </w:r>
    </w:p>
    <w:p>
      <w:pPr>
        <w:spacing w:after="0" w:line="149" w:lineRule="exact"/>
        <w:rPr>
          <w:rFonts w:ascii="Times New Roman" w:cs="Times New Roman" w:eastAsia="Times New Roman" w:hAnsi="Times New Roman"/>
          <w:sz w:val="21"/>
          <w:szCs w:val="21"/>
          <w:color w:val="auto"/>
        </w:rPr>
      </w:pPr>
    </w:p>
    <w:p>
      <w:pPr>
        <w:jc w:val="both"/>
        <w:ind w:left="660" w:firstLine="1292"/>
        <w:spacing w:after="0" w:line="225" w:lineRule="auto"/>
        <w:tabs>
          <w:tab w:leader="none" w:pos="259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RFR Loan denominated in an Alternative Currency shall bear interest at the Central Bank Rate for the applicable Alternative Currency plus the CBR Spread;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Administrative Agent determines (which determination shall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84" w:name="page185"/>
    <w:bookmarkEnd w:id="184"/>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be conclusive and binding absent manifest error) that the Central Bank Rate for the applicable Alternative Currency cannot be determined, any outstanding affected RFR Loans denominated in any Alternative Currency, at the applicable Borrower’s election, shall either (x) be converted into ABR Loans denominated in Dollars (in an amount equal to the Dollar Equivalent of such Alternative Currency) promptly or (y) be prepaid in full promptly.</w:t>
      </w:r>
    </w:p>
    <w:p>
      <w:pPr>
        <w:spacing w:after="0" w:line="152" w:lineRule="exact"/>
        <w:rPr>
          <w:sz w:val="20"/>
          <w:szCs w:val="20"/>
          <w:color w:val="auto"/>
        </w:rPr>
      </w:pPr>
    </w:p>
    <w:p>
      <w:pPr>
        <w:jc w:val="both"/>
        <w:ind w:firstLine="656"/>
        <w:spacing w:after="0" w:line="209" w:lineRule="auto"/>
        <w:tabs>
          <w:tab w:leader="none" w:pos="129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or in any other Loan Document, (and any Swap Agreement shall be deemed not to be a “Loan Document” for purposes of this Section 2.13),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55"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will promptly notify the Borrowers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at any time (including in connection with the implementation of a Benchmark Replacement), (i) if the then-current Benchmark is a term rate (including the Term SOFR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5" w:name="page186"/>
    <w:bookmarkEnd w:id="185"/>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6" w:lineRule="exact"/>
        <w:rPr>
          <w:sz w:val="20"/>
          <w:szCs w:val="20"/>
          <w:color w:val="auto"/>
        </w:rPr>
      </w:pPr>
    </w:p>
    <w:p>
      <w:pPr>
        <w:jc w:val="both"/>
        <w:ind w:firstLine="656"/>
        <w:spacing w:after="0" w:line="210" w:lineRule="auto"/>
        <w:tabs>
          <w:tab w:leader="none" w:pos="129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Borrowers’ receipt of notice of the commencement of a Benchmark Unavailability Period for any Benchmark, a Borrower may revoke any request for a Term Benchmark Borrowing or RFR Borrowing of such Type, or for any conversion to or continuation of Term Benchmark Loans to be made, converted or continued as Loans of such Type, during any Benchmark Unavailability Period for such Benchmark and, failing that, to the extent applicable to such Benchmark, either (x) the applicable Borrower will be deemed to have converted any request for (1) a Term Benchmark Borrowing denominated in Dollars into a request for a Borrowing of or conversion to (A) an RFR Borrowing denominated in Dollars so long as the Daily Simple RFR for Dollar Borrowings is not the subject of a Benchmark Transition Event or (B) an ABR Borrowing if the Daily Simple RFR for Dollar Borrowings is the subject of a Benchmark Transition Event or (2) an RFR Borrowing denominated in Dollars into a request for an ABR Loan or (y) any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2.13:</w:t>
      </w:r>
    </w:p>
    <w:p>
      <w:pPr>
        <w:spacing w:after="0" w:line="176" w:lineRule="exact"/>
        <w:rPr>
          <w:sz w:val="20"/>
          <w:szCs w:val="20"/>
          <w:color w:val="auto"/>
        </w:rPr>
      </w:pPr>
    </w:p>
    <w:p>
      <w:pPr>
        <w:jc w:val="both"/>
        <w:ind w:firstLine="8"/>
        <w:spacing w:after="0" w:line="253" w:lineRule="auto"/>
        <w:tabs>
          <w:tab w:leader="none" w:pos="63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Loans denominated in Dollars (1) any Term Benchmark Loan shall, on the last day of the Interest Period applicable to such Loan, be converted by the Administrative Agent to, and shall constitute, (x) an RFR Borrowing denominated in Dollars so long as the Daily Simple RFR for Dollar Borrowings is not the subject of a Benchmark Transition Event or (y) an ABR Loan if the Daily Simple RFR for Dollar Borrowings is the subject of a Benchmark Transition Event, on such day and (2) any RFR Loan shall on and from such day be converted by the Administrative Agent to, and shall constitute an ABR Loan;</w:t>
      </w:r>
    </w:p>
    <w:p>
      <w:pPr>
        <w:spacing w:after="0" w:line="178" w:lineRule="exact"/>
        <w:rPr>
          <w:rFonts w:ascii="Times New Roman" w:cs="Times New Roman" w:eastAsia="Times New Roman" w:hAnsi="Times New Roman"/>
          <w:sz w:val="22"/>
          <w:szCs w:val="22"/>
          <w:color w:val="auto"/>
        </w:rPr>
      </w:pPr>
    </w:p>
    <w:p>
      <w:pPr>
        <w:jc w:val="both"/>
        <w:ind w:firstLine="8"/>
        <w:spacing w:after="0" w:line="260" w:lineRule="auto"/>
        <w:tabs>
          <w:tab w:leader="none" w:pos="639"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Term Benchmark Loans denominated in an Alternative Currency, such Term Benchmark Loan shall, on the last day of the Interest Period applicable to such Loan bear interest at the Central Bank Rate for the applicable Alternative Currency plus the CBR Spread;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applicable Borrower’s election prior to such day: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be prepaid by the applicable Borrower on such day or (y) solely for the purpose of calculating the interest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6" w:name="page187"/>
    <w:bookmarkEnd w:id="186"/>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w:t>
      </w:r>
    </w:p>
    <w:p>
      <w:pPr>
        <w:spacing w:after="0" w:line="186" w:lineRule="exact"/>
        <w:rPr>
          <w:sz w:val="20"/>
          <w:szCs w:val="20"/>
          <w:color w:val="auto"/>
        </w:rPr>
      </w:pPr>
    </w:p>
    <w:p>
      <w:pPr>
        <w:jc w:val="both"/>
        <w:ind w:firstLine="8"/>
        <w:spacing w:after="0" w:line="251" w:lineRule="auto"/>
        <w:tabs>
          <w:tab w:leader="none" w:pos="6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RFR Loan denominated in an Alternative Currency shall bear interest at the Central Bank Rate for the applicable Alternative Currency plus the CBR Spread;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applicable Borrower’s election, shall either (x) be converted into ABR Loans denominated in Dollars (in an amount equal to the Dollar Equivalent of such Alternative Currency) immediately or (y) be prepaid in full immediately.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Issuing Bank (except any such reserve requirement reflected in the Adjusted EURIBOR Rate) or Issuing Bank;</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(x) Indemnified Taxes, (y) Taxes described in clauses (b) through (d) of the definition of Excluded Taxes and (z) Connection Income Taxes) on its loans, loan principal, letters of credit, commitments, or other obligations, or its deposits, reserves, other liabilities or capital attributable thereto;</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Lender or Issuing Bank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applicable Borrower will pay to such Lender, the Issuing Bank or such other Recipient, as the case may be, such additional amount or amounts as will compensate such Lender, the Issuing Bank or such other Recipient, as the case may be, for such additional costs incurred or reduction suffered. For the avoidance of doubt,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shall not apply to Taxes, which shall be governed exclusively by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firstLine="656"/>
        <w:spacing w:after="0" w:line="236" w:lineRule="auto"/>
        <w:tabs>
          <w:tab w:leader="none" w:pos="129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the Issuing Bank determines that any Change in Law regarding capital or liquidity requirements has or would have the effect of reducing the rate of return 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87" w:name="page188"/>
    <w:bookmarkEnd w:id="187"/>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other than due to Taxes which, for the avoidance of doubt, are covered by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(taking into consideration such Lender’s or the Issuing Bank’s policies and the policies of such Lender’s or the Issuing Bank’s holding company with respect to capital adequacy and liquidity), then from time to time the applicable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58" w:lineRule="exact"/>
        <w:rPr>
          <w:sz w:val="20"/>
          <w:szCs w:val="20"/>
          <w:color w:val="auto"/>
        </w:rPr>
      </w:pPr>
    </w:p>
    <w:p>
      <w:pPr>
        <w:jc w:val="both"/>
        <w:ind w:firstLine="656"/>
        <w:spacing w:after="0" w:line="217" w:lineRule="auto"/>
        <w:tabs>
          <w:tab w:leader="none" w:pos="129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in reasonable detail of a Lender or the Issuing Bank setting forth the amount or amounts necessary to compensate such Lender or the Issuing Bank or its holding company, as the case may be, as specified in paragraph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shall be delivered to the Borrowers and shall be conclusive absent manifest error. The applicable Borrower shall pay such Lender or the Issuing Bank, as the case may be, the amount shown as due on any such certificate within thirty (30) days after receipt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the Issuing Bank to demand compensation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shall not constitute a waiver of such Lender’s or the Issuing Bank’s right to demand such compensation; provided that the Borrowers shall not be required to compensate a Lender or the Issuing Bank pursuant to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for any increased costs or reductions incurred more than 270 days prior to the date that such Lender or the Issuing Bank, as the case may be, notifies the Borrowers of the Change in Law giving rise to such increased costs or reductions and of such Lender’s or the Issuing Bank’s intention to claim compensation therefor;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Break Funding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9" w:lineRule="auto"/>
        <w:tabs>
          <w:tab w:leader="none" w:pos="129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Loans that are not RFR Loans, in the event of (i) the payment of any principal of any Term Benchmark Loan other than on the last day of an Interest Period applicable thereto (including as a result of an Event of Default or as a result of any prepayment pursuant to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21"/>
          <w:szCs w:val="21"/>
          <w:u w:val="single" w:color="auto"/>
          <w:color w:val="auto"/>
        </w:rPr>
        <w:t>Section 2.08(d)</w:t>
      </w:r>
      <w:r>
        <w:rPr>
          <w:rFonts w:ascii="Times New Roman" w:cs="Times New Roman" w:eastAsia="Times New Roman" w:hAnsi="Times New Roman"/>
          <w:sz w:val="21"/>
          <w:szCs w:val="21"/>
          <w:color w:val="auto"/>
        </w:rPr>
        <w:t xml:space="preserve"> and is revoked in accordance therewith), (iv) the assignment of any Term Benchmark Loan other than on the last day of the Interest Period applicable thereto as a result of a request by the applicable Borrower pursuant to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xml:space="preserve">, or (v) the failure by the applicable Borrower to make any payment of any Loan or drawing under any Letter of Credit (or interest due thereof) denominated in an Alternative Currency on its scheduled due date or any payment thereof in a different currency, then, in any such event, the applicable Borrower shall compensate each Lender for the loss, cost and expense attributable to such event. A certificate in reasonable detail of any Lender setting forth any amount or amounts that such Lender is entitled to receive pursuant to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shall be delivered to the Borrowers and shall be conclusive absent manifest error. The applicable Borrower shall pay such Lender the amount shown as due on any such certificate within thirty (30)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8" w:name="page189"/>
    <w:bookmarkEnd w:id="188"/>
    <w:p>
      <w:pPr>
        <w:jc w:val="both"/>
        <w:ind w:firstLine="656"/>
        <w:spacing w:after="0" w:line="210" w:lineRule="auto"/>
        <w:tabs>
          <w:tab w:leader="none" w:pos="129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2.10 and is revoked in accordance therewith), (iii) the assignment of any RFR Loan other than on the Interest Payment Date applicable thereto as a result of a request by the applicable Borrower pursuant to Section 2.17, or (iv) the failure by the applicable Borrower to make any payment of any Loan or drawing under any Letter of Credit (or interest due thereof) denominated in an Alternative Currency on its scheduled due date or any payment thereof in a different currency, then, in any such event, the applicable Borrower shall compensate each Lender for the loss, cost and expense attributable to such event. A certificate of any Lender setting forth any amount or amounts that such Lender is entitled to receive pursuant to this Section shall be delivered to the Borrowers and shall be conclusive absent manifest error. The applicable Borrower shall pay such Lender the amount shown as due on any such certificate within thirty (30) days after receipt thereof.</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Withholding Taxes; Gross Up</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any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applicable Recipient receives an amount equal to the sum it would have received had no such deduction or withholding been made.</w:t>
      </w:r>
    </w:p>
    <w:p>
      <w:pPr>
        <w:spacing w:after="0" w:line="158"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Borrowers</w:t>
      </w:r>
      <w:r>
        <w:rPr>
          <w:rFonts w:ascii="Times New Roman" w:cs="Times New Roman" w:eastAsia="Times New Roman" w:hAnsi="Times New Roman"/>
          <w:sz w:val="22"/>
          <w:szCs w:val="22"/>
          <w:color w:val="auto"/>
        </w:rPr>
        <w:t>. The Borrowers shall timely pay to the relevant Governmental Authority in accordance with applicable law, or at the option of the Administrative Agent timely reimburse it for, Other Taxes.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w:t>
      </w:r>
      <w:r>
        <w:rPr>
          <w:rFonts w:ascii="Times New Roman" w:cs="Times New Roman" w:eastAsia="Times New Roman" w:hAnsi="Times New Roman"/>
          <w:sz w:val="22"/>
          <w:szCs w:val="22"/>
          <w:color w:val="auto"/>
        </w:rPr>
        <w:t xml:space="preserve">. As soon as practicable after any payment of Taxes by any Borrower to a Governmental Authority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such Borrower shall deliver to the Administrative Agent either of (i) the original or a certified copy of a receipt issued by such Governmental Authority evidencing such payment, a copy of the return reporting such payment, or (ii) other evidence of such payment reasonably satisfactory to the Administrative Agent.</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Borrowers</w:t>
      </w:r>
      <w:r>
        <w:rPr>
          <w:rFonts w:ascii="Times New Roman" w:cs="Times New Roman" w:eastAsia="Times New Roman" w:hAnsi="Times New Roman"/>
          <w:sz w:val="22"/>
          <w:szCs w:val="22"/>
          <w:color w:val="auto"/>
        </w:rPr>
        <w:t xml:space="preserve">. The Borrowers shall jointly and severally indemnify each Recipient, within twenty (20)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except that each Foreign Subsidiary Borrower shall only be severally liable for those Obligations related to it as provided in the last sentence of Section 2.09(a); and provided that if the Borrowers reasonably believe that such Taxes were not correctly or legally asserted, the Administrative Agent, or Lender, as applicable, will use reasonable efforts to cooperate with the Borrowers’ efforts 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89" w:name="page190"/>
    <w:bookmarkEnd w:id="189"/>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obtain a refund of such Taxes (which if successful shall be repaid to applicable Borrower in accordance with </w:t>
      </w:r>
      <w:r>
        <w:rPr>
          <w:rFonts w:ascii="Times New Roman" w:cs="Times New Roman" w:eastAsia="Times New Roman" w:hAnsi="Times New Roman"/>
          <w:sz w:val="21"/>
          <w:szCs w:val="21"/>
          <w:u w:val="single" w:color="auto"/>
          <w:color w:val="auto"/>
        </w:rPr>
        <w:t>Section 2.16(g)</w:t>
      </w:r>
      <w:r>
        <w:rPr>
          <w:rFonts w:ascii="Times New Roman" w:cs="Times New Roman" w:eastAsia="Times New Roman" w:hAnsi="Times New Roman"/>
          <w:sz w:val="21"/>
          <w:szCs w:val="21"/>
          <w:color w:val="auto"/>
        </w:rPr>
        <w:t>). A certificate as to the amount of such payment or liability delivered to Borrowers by a Lender (with a copy to the Administrative Agent), or by the Administrative Agent on its own behalf or on behalf of a Lender, shall be conclusive absent manifest error.</w:t>
      </w:r>
    </w:p>
    <w:p>
      <w:pPr>
        <w:spacing w:after="0" w:line="139" w:lineRule="exact"/>
        <w:rPr>
          <w:sz w:val="20"/>
          <w:szCs w:val="20"/>
          <w:color w:val="auto"/>
        </w:rPr>
      </w:pPr>
    </w:p>
    <w:p>
      <w:pPr>
        <w:ind w:left="1300" w:hanging="644"/>
        <w:spacing w:after="0"/>
        <w:tabs>
          <w:tab w:leader="none" w:pos="130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Each Lender shall severally indemnify the Administrative Agent, within twenty</w:t>
      </w:r>
    </w:p>
    <w:p>
      <w:pPr>
        <w:jc w:val="both"/>
        <w:ind w:firstLine="8"/>
        <w:spacing w:after="0" w:line="208" w:lineRule="auto"/>
        <w:tabs>
          <w:tab w:leader="none" w:pos="43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written demand therefor, for (i) any Indemnified Taxes attributable to such Lender (but only to the extent that Borrowers have not already indemnified the Administrative Agent for such Indemnified Taxes and without limiting the obligation of the Borrowers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9.04(c)</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44"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entitled to an exemption from or reduction of withholding Tax with respect to payments made under any Loan Document shall deliver to the applicable Borrower and the Administrative Agent, at the time or times reasonably requested by the applicable Borrower or the Administrative Agent, such properly completed and executed documentation reasonably requested by the applicable Borrower or the Administrative Agent as will permit such payments to be made without withholding or at a reduced rate of withholding. In addition, any Lender, if reasonably requested by the applicable Borrower or the Administrative Agent, shall deliver such other documentation prescribed by applicable law or reasonably requested by the applicable Borrower or the Administrative Agent as will enable such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(ii)(D)</w:t>
      </w:r>
      <w:r>
        <w:rPr>
          <w:rFonts w:ascii="Times New Roman" w:cs="Times New Roman" w:eastAsia="Times New Roman" w:hAnsi="Times New Roman"/>
          <w:sz w:val="22"/>
          <w:szCs w:val="2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any Borrower is a U.S. Person,</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3" w:val="left"/>
        </w:tabs>
        <w:numPr>
          <w:ilvl w:val="3"/>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an executed copy of IRS Form W-9 certifying that such Lender is exempt from U.S. federal backup withholding tax;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0" w:name="page191"/>
    <w:bookmarkEnd w:id="190"/>
    <w:p>
      <w:pPr>
        <w:jc w:val="both"/>
        <w:ind w:left="-460" w:firstLine="1292"/>
        <w:spacing w:after="0" w:line="220" w:lineRule="auto"/>
        <w:tabs>
          <w:tab w:leader="none" w:pos="147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52" w:lineRule="exact"/>
        <w:rPr>
          <w:rFonts w:ascii="Times New Roman" w:cs="Times New Roman" w:eastAsia="Times New Roman" w:hAnsi="Times New Roman"/>
          <w:sz w:val="22"/>
          <w:szCs w:val="22"/>
          <w:color w:val="auto"/>
        </w:rPr>
      </w:pPr>
    </w:p>
    <w:p>
      <w:pPr>
        <w:jc w:val="both"/>
        <w:ind w:left="180" w:firstLine="1300"/>
        <w:spacing w:after="0" w:line="213" w:lineRule="auto"/>
        <w:tabs>
          <w:tab w:leader="none" w:pos="211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56" w:lineRule="exact"/>
        <w:rPr>
          <w:rFonts w:ascii="Times New Roman" w:cs="Times New Roman" w:eastAsia="Times New Roman" w:hAnsi="Times New Roman"/>
          <w:sz w:val="22"/>
          <w:szCs w:val="22"/>
          <w:color w:val="auto"/>
        </w:rPr>
      </w:pPr>
    </w:p>
    <w:p>
      <w:pPr>
        <w:ind w:left="180" w:firstLine="1300"/>
        <w:spacing w:after="0" w:line="236" w:lineRule="auto"/>
        <w:tabs>
          <w:tab w:leader="none" w:pos="211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that its extension of credit will generate U.S. effectively connected income, an executed copy of IRS Form W-8ECI;</w:t>
      </w:r>
    </w:p>
    <w:p>
      <w:pPr>
        <w:spacing w:after="0" w:line="150" w:lineRule="exact"/>
        <w:rPr>
          <w:rFonts w:ascii="Times New Roman" w:cs="Times New Roman" w:eastAsia="Times New Roman" w:hAnsi="Times New Roman"/>
          <w:sz w:val="22"/>
          <w:szCs w:val="22"/>
          <w:color w:val="auto"/>
        </w:rPr>
      </w:pPr>
    </w:p>
    <w:p>
      <w:pPr>
        <w:jc w:val="both"/>
        <w:ind w:left="180" w:firstLine="1300"/>
        <w:spacing w:after="0" w:line="215" w:lineRule="auto"/>
        <w:tabs>
          <w:tab w:leader="none" w:pos="211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an executed copy of IRS Form W-8BEN or IRS Form W-8BEN-E, as applicable; or</w:t>
      </w:r>
    </w:p>
    <w:p>
      <w:pPr>
        <w:spacing w:after="0" w:line="152" w:lineRule="exact"/>
        <w:rPr>
          <w:rFonts w:ascii="Times New Roman" w:cs="Times New Roman" w:eastAsia="Times New Roman" w:hAnsi="Times New Roman"/>
          <w:sz w:val="22"/>
          <w:szCs w:val="22"/>
          <w:color w:val="auto"/>
        </w:rPr>
      </w:pPr>
    </w:p>
    <w:p>
      <w:pPr>
        <w:jc w:val="both"/>
        <w:ind w:left="180" w:firstLine="1300"/>
        <w:spacing w:after="0" w:line="213" w:lineRule="auto"/>
        <w:tabs>
          <w:tab w:leader="none" w:pos="211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an executed copy of IRS Form W-8IMY, accompanied by IRS Form W-8ECI, IRS Form W-8BEN or IRS Form W-8BEN-E, as applicable, a U.S. Tax Compliance Certificate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C-4</w:t>
      </w:r>
      <w:r>
        <w:rPr>
          <w:rFonts w:ascii="Times New Roman" w:cs="Times New Roman" w:eastAsia="Times New Roman" w:hAnsi="Times New Roman"/>
          <w:sz w:val="22"/>
          <w:szCs w:val="22"/>
          <w:color w:val="auto"/>
        </w:rPr>
        <w:t xml:space="preserve"> on behalf of each such direct and indirect partner;</w:t>
      </w:r>
    </w:p>
    <w:p>
      <w:pPr>
        <w:spacing w:after="0" w:line="156" w:lineRule="exact"/>
        <w:rPr>
          <w:rFonts w:ascii="Times New Roman" w:cs="Times New Roman" w:eastAsia="Times New Roman" w:hAnsi="Times New Roman"/>
          <w:sz w:val="22"/>
          <w:szCs w:val="22"/>
          <w:color w:val="auto"/>
        </w:rPr>
      </w:pPr>
    </w:p>
    <w:p>
      <w:pPr>
        <w:jc w:val="both"/>
        <w:ind w:left="-460" w:firstLine="1292"/>
        <w:spacing w:after="0" w:line="213" w:lineRule="auto"/>
        <w:tabs>
          <w:tab w:leader="none" w:pos="147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95" w:right="339" w:bottom="1440" w:gutter="0" w:footer="0" w:header="0"/>
        </w:sectPr>
      </w:pPr>
    </w:p>
    <w:bookmarkStart w:id="191" w:name="page192"/>
    <w:bookmarkEnd w:id="191"/>
    <w:p>
      <w:pPr>
        <w:jc w:val="both"/>
        <w:ind w:left="660" w:firstLine="1292"/>
        <w:spacing w:after="0" w:line="221" w:lineRule="auto"/>
        <w:tabs>
          <w:tab w:leader="none" w:pos="259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“FATCA” shall include any amendments made to FATCA after the date of this Agreement.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59" w:lineRule="exact"/>
        <w:rPr>
          <w:sz w:val="20"/>
          <w:szCs w:val="20"/>
          <w:color w:val="auto"/>
        </w:rPr>
      </w:pPr>
    </w:p>
    <w:p>
      <w:pPr>
        <w:jc w:val="both"/>
        <w:ind w:firstLine="656"/>
        <w:spacing w:after="0" w:line="208" w:lineRule="auto"/>
        <w:tabs>
          <w:tab w:leader="none" w:pos="129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party determines, in its sole discretion exercised in good faith, that it has received a refund (or credit in lieu of a refund) of any Taxes as to which it has been indemnified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it shall pay to the indemnifying party an amount equal to such refund or credit (but only to the extent of indemnity payments made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with respect to the Taxes giving rise to such refund or credit), net of all out-of-pocket expenses (including Taxes) of such indemnified party and without interest (other than any interest paid by the relevant Governmental Authority with respect to such refund or credit).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or credit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or credit had not been deducted, withheld or otherwise imposed and the indemnification payments or additional amounts giving rise to such refund or credit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64"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Obligations).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term “Lender” includes any Issuing Bank and the term “applicable law” includes FATCA.</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United Kingdom Withholding Tax Matters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2" w:name="page193"/>
    <w:bookmarkEnd w:id="192"/>
    <w:p>
      <w:pPr>
        <w:jc w:val="both"/>
        <w:ind w:left="660" w:firstLine="644"/>
        <w:spacing w:after="0" w:line="225"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(ii) below, each Lender and each UK Borrower which makes a payment to such Lender shall cooperate in completing any procedural formalities necessary for such UK Borrower to obtain authorization to make such payment without withholding or deduction for Taxes imposed under the laws of the United Kingdom.</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 Lender on the Effective Date that (x) holds a passport under the HMRC DT Treaty Passport scheme and (y) wishes such scheme to apply to this Agreement, shall provide its scheme reference number and its jurisdiction of tax residence in Annex II or otherwise provide this information to each UK Borrower and the Administrative Agent; and</w:t>
      </w:r>
    </w:p>
    <w:p>
      <w:pPr>
        <w:spacing w:after="0" w:line="178" w:lineRule="exact"/>
        <w:rPr>
          <w:rFonts w:ascii="Times New Roman" w:cs="Times New Roman" w:eastAsia="Times New Roman" w:hAnsi="Times New Roman"/>
          <w:sz w:val="21"/>
          <w:szCs w:val="21"/>
          <w:color w:val="auto"/>
        </w:rPr>
      </w:pPr>
    </w:p>
    <w:p>
      <w:pPr>
        <w:jc w:val="both"/>
        <w:ind w:left="660" w:firstLine="1292"/>
        <w:spacing w:after="0" w:line="256" w:lineRule="auto"/>
        <w:tabs>
          <w:tab w:leader="none" w:pos="259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which becomes a Lender hereunder after the day on which this Agreement closes that (x) holds a passport under the HMRC DT Treaty Passport scheme and (y) wishes such scheme to apply to this Agreement, shall provide its scheme reference number and its jurisdiction of tax residence in the Assignment and Assumption or any other Loan Document pursuant to which it shall become a Lender, and</w:t>
      </w:r>
    </w:p>
    <w:p>
      <w:pPr>
        <w:spacing w:after="0" w:line="17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satisfying either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such Lender shall have satisfied its obligation under</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clause (j)(i)</w:t>
      </w:r>
      <w:r>
        <w:rPr>
          <w:rFonts w:ascii="Times New Roman" w:cs="Times New Roman" w:eastAsia="Times New Roman" w:hAnsi="Times New Roman"/>
          <w:sz w:val="22"/>
          <w:szCs w:val="22"/>
          <w:color w:val="auto"/>
        </w:rPr>
        <w:t xml:space="preserve"> above.</w:t>
      </w:r>
    </w:p>
    <w:p>
      <w:pPr>
        <w:spacing w:after="0" w:line="168"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Lender has confirmed its scheme reference number and its jurisdiction of tax residence in accordance with </w:t>
      </w:r>
      <w:r>
        <w:rPr>
          <w:rFonts w:ascii="Times New Roman" w:cs="Times New Roman" w:eastAsia="Times New Roman" w:hAnsi="Times New Roman"/>
          <w:sz w:val="22"/>
          <w:szCs w:val="22"/>
          <w:u w:val="single" w:color="auto"/>
          <w:color w:val="auto"/>
        </w:rPr>
        <w:t>clause (j)(ii)</w:t>
      </w:r>
      <w:r>
        <w:rPr>
          <w:rFonts w:ascii="Times New Roman" w:cs="Times New Roman" w:eastAsia="Times New Roman" w:hAnsi="Times New Roman"/>
          <w:sz w:val="22"/>
          <w:szCs w:val="22"/>
          <w:color w:val="auto"/>
        </w:rPr>
        <w:t xml:space="preserve"> above, the UK Borrower(s) shall make a Borrower DTTP Filing with respect to such Lender, and shall promptly provide such Lender with a copy of such filing; provided that, if:</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UK Borrower making a payment to such Lender has not made a Borrower DTTP Filing in respect of such Lender; or</w:t>
      </w:r>
    </w:p>
    <w:p>
      <w:pPr>
        <w:spacing w:after="0" w:line="14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UK Borrower making a payment to such Lender has made a Borrower DTTP Filing in respect</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such Lender but:</w:t>
      </w:r>
    </w:p>
    <w:p>
      <w:pPr>
        <w:spacing w:after="0" w:line="155"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Borrower DTTP Filing has been rejected by HM Revenue &amp; Customs; or</w:t>
      </w:r>
    </w:p>
    <w:p>
      <w:pPr>
        <w:spacing w:after="0" w:line="179" w:lineRule="exact"/>
        <w:rPr>
          <w:rFonts w:ascii="Times New Roman" w:cs="Times New Roman" w:eastAsia="Times New Roman" w:hAnsi="Times New Roman"/>
          <w:sz w:val="22"/>
          <w:szCs w:val="22"/>
          <w:color w:val="auto"/>
        </w:rPr>
      </w:pPr>
    </w:p>
    <w:p>
      <w:pPr>
        <w:ind w:left="1300" w:firstLine="1300"/>
        <w:spacing w:after="0" w:line="236" w:lineRule="auto"/>
        <w:tabs>
          <w:tab w:leader="none" w:pos="3239"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HM Revenue &amp; Customs has not given such UK Borrower authority to make payments to such Lender without a deduction for tax within 60 days of the date of such Borrower DTTP Filing;</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and in each case, such UK Borrower has notified that Lender in writing of either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above, then such Lender and such UK Borrower shall co-operate in completing any additional procedural formalities necessary for such UK Borrower to obtain authorization to make that payment without withholding or deduction for Taxes imposed under the laws of the United Kingdom.</w:t>
      </w:r>
    </w:p>
    <w:p>
      <w:pPr>
        <w:spacing w:after="0" w:line="149" w:lineRule="exact"/>
        <w:rPr>
          <w:sz w:val="20"/>
          <w:szCs w:val="20"/>
          <w:color w:val="auto"/>
        </w:rPr>
      </w:pPr>
    </w:p>
    <w:p>
      <w:pPr>
        <w:jc w:val="both"/>
        <w:ind w:left="660" w:firstLine="644"/>
        <w:spacing w:after="0" w:line="220" w:lineRule="auto"/>
        <w:tabs>
          <w:tab w:leader="none" w:pos="194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Lender has not confirmed its scheme reference number and jurisdiction of tax residence in accordance with </w:t>
      </w:r>
      <w:r>
        <w:rPr>
          <w:rFonts w:ascii="Times New Roman" w:cs="Times New Roman" w:eastAsia="Times New Roman" w:hAnsi="Times New Roman"/>
          <w:sz w:val="22"/>
          <w:szCs w:val="22"/>
          <w:u w:val="single" w:color="auto"/>
          <w:color w:val="auto"/>
        </w:rPr>
        <w:t>clause (j)(ii)</w:t>
      </w:r>
      <w:r>
        <w:rPr>
          <w:rFonts w:ascii="Times New Roman" w:cs="Times New Roman" w:eastAsia="Times New Roman" w:hAnsi="Times New Roman"/>
          <w:sz w:val="22"/>
          <w:szCs w:val="22"/>
          <w:color w:val="auto"/>
        </w:rPr>
        <w:t xml:space="preserve"> above, no UK Borrower shall make a Borrower DTTP Filing or file any other form relating to the HMRC DT Treaty Passport scheme in respect of that Lender’s Commitment(s) or its participation in any Loan unless the Lender otherwise agrees.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3" w:name="page194"/>
    <w:bookmarkEnd w:id="193"/>
    <w:p>
      <w:pPr>
        <w:ind w:left="660" w:right="20" w:firstLine="644"/>
        <w:spacing w:after="0" w:line="236" w:lineRule="auto"/>
        <w:tabs>
          <w:tab w:leader="none" w:pos="195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UK Borrower shall, promptly on making a Borrower DTTP Filing, deliver a copy of such Borrower DTTP Filing to the Administrative Agent for delivery to the relevant Lender.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notify the UK Borrowers and Administrative Agent if it determines in its sole discretion that it is ceases to be entitled to claim the benefits of an income tax treaty to which the United Kingdom is a party with respect to payments made by any UK Borrower hereunder.</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Payments Generally; Allocation of Proceeds; Sharing of Set-offs; AHYDO Savings Clause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6" w:lineRule="auto"/>
        <w:tabs>
          <w:tab w:leader="none" w:pos="1293"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or otherwise) prior to 1:00 p.m., eastern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such office designated by the Administrative Agent, except payments to be made directly to the Issuing Bank or Swingline Lender as expressly provided herein and except that payments pursuant to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9.03</w:t>
      </w:r>
      <w:r>
        <w:rPr>
          <w:rFonts w:ascii="Times New Roman" w:cs="Times New Roman" w:eastAsia="Times New Roman" w:hAnsi="Times New Roman"/>
          <w:sz w:val="21"/>
          <w:szCs w:val="21"/>
          <w:color w:val="auto"/>
        </w:rPr>
        <w:t xml:space="preserve"> shall be made directly to the Persons entitled thereto. The Administrative Agent shall distribute any such payments received by it for the account of any other Person to the appropriate recipient promptly following receipt thereof. Except as otherwise set forth in the definition of “Interest Period”,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All payments hereunder of (i) principal or interest in respect of any Loan shall be made in the currency in which such Loan is denominated, (ii) reimbursement obligations shall be made in the currency in which the Letter of Credit in respect of which such reimbursement obligation exists is denominated or</w:t>
      </w:r>
    </w:p>
    <w:p>
      <w:pPr>
        <w:spacing w:after="0" w:line="5" w:lineRule="exact"/>
        <w:rPr>
          <w:rFonts w:ascii="Times New Roman" w:cs="Times New Roman" w:eastAsia="Times New Roman" w:hAnsi="Times New Roman"/>
          <w:sz w:val="21"/>
          <w:szCs w:val="21"/>
          <w:color w:val="auto"/>
        </w:rPr>
      </w:pPr>
    </w:p>
    <w:p>
      <w:pPr>
        <w:jc w:val="both"/>
        <w:ind w:firstLine="8"/>
        <w:spacing w:after="0" w:line="212" w:lineRule="auto"/>
        <w:tabs>
          <w:tab w:leader="none" w:pos="38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due hereunder or under another Loan Document shall be made in Dollars. Without limiting the generality of the foregoing, the Administrative Agent may require that any payments due under this Agreement be made in the United States. If, for any reason, a Borrower is prohibited by any Requirement of Law from making any required payment hereunder in an Alternative Currency, such Borrower shall make such payment in Dollars in the Dollar Equivalent of the Alternative Currency payment amount.</w:t>
      </w:r>
    </w:p>
    <w:p>
      <w:pPr>
        <w:spacing w:after="0" w:line="154"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payments in respect of the Obligations received by the Administrative Agent (i) not constituting either (A) a specific payment of principal, interest, fees or other sum payable under the Loan Documents (which shall be applied as specified by the applicable Borrower) or (B) a mandatory prepayment (which shall be applied in accordance with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or (ii) after an Event of Default has occurred and is continuing and the Administrative Agent so elects or the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Lenders so direct, such funds shall be applied ratably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 any fees, indemnities, or expense reimbursements including amounts then due to the Administrative Agent and the Issuing Bank from the Borrowers (other than in connection with Swap Obligations),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 any fees, indemnities or expense reimbursements then due to the Lenders from the Borrowers (other than in connection with Swap Obligations),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 interest then due and payable on the Loans and the Letters of Credit ratably,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prepay principal on the Loans and unreimbursed LC Disbursements ratably, to pay an amount to the Administrative Agent equal to the aggregate undrawn face amount of all outstanding Letters of Credit and the aggregate amount of any unpaid LC Disbursements, to be held as cash collateral for such Obligations and to payment of any amounts owing with respect to Swap Obligations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4" w:name="page195"/>
    <w:bookmarkEnd w:id="194"/>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Banking Services Obligations (all such amounts under this “fourth” item being applied ratably in accordance with all such amounts due, and with amounts allocated to any Class of Incremental Term Loans applied to reduce the subsequent scheduled repayments of such Class of Term Loans on a ratable basis),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to the payment of any other Obligation due to the Administrative Agent or any Lender or any of their Affiliates, and </w:t>
      </w:r>
      <w:r>
        <w:rPr>
          <w:rFonts w:ascii="Times New Roman" w:cs="Times New Roman" w:eastAsia="Times New Roman" w:hAnsi="Times New Roman"/>
          <w:sz w:val="21"/>
          <w:szCs w:val="21"/>
          <w:u w:val="single" w:color="auto"/>
          <w:color w:val="auto"/>
        </w:rPr>
        <w:t>sixth</w:t>
      </w:r>
      <w:r>
        <w:rPr>
          <w:rFonts w:ascii="Times New Roman" w:cs="Times New Roman" w:eastAsia="Times New Roman" w:hAnsi="Times New Roman"/>
          <w:sz w:val="21"/>
          <w:szCs w:val="21"/>
          <w:color w:val="auto"/>
        </w:rPr>
        <w:t>, to the payment of the surplus, if any, to whoever may be lawfully entitled to receive such surplus. Notwithstanding the foregoing, amounts received from any Loan Party shall not be applied to any Excluded Swap Obligation of such Loan Party. Notwithstanding anything to the contrary contained in this Agreement, unless so directed by the applicable Borrower, or unless an Event of Default is in existence, none of the Administrative Agent or any Lender shall apply any payment which it receives to any Term Benchmark Loan of a Class, except</w:t>
      </w:r>
    </w:p>
    <w:p>
      <w:pPr>
        <w:spacing w:after="0" w:line="5" w:lineRule="exact"/>
        <w:rPr>
          <w:sz w:val="20"/>
          <w:szCs w:val="20"/>
          <w:color w:val="auto"/>
        </w:rPr>
      </w:pPr>
    </w:p>
    <w:p>
      <w:pPr>
        <w:jc w:val="both"/>
        <w:ind w:firstLine="8"/>
        <w:spacing w:after="0" w:line="209" w:lineRule="auto"/>
        <w:tabs>
          <w:tab w:leader="none" w:pos="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expiration date of the Interest Period applicable to any such Term Benchmark Loan or (b) in the event, and only to the extent, that there are no outstanding ABR Loans of the same Class and, in any event, the applicable Borrower shall pay the break funding payment required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The Administrative Agent and the Lenders shall have the continuing and exclusive right to apply and reverse and reapply any and all such proceeds and payments to any portion of the Obligations. Notwithstanding the foregoing, Obligations arising under Banking Services Obligations or Swap Obligations shall be excluded from the application described above and paid in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 in accordance with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the applicable Borrower, all payments of principal, interest, LC Disbursements, fees, premiums, reimbursable expenses, and other sums payable under the Loan Documents, may be paid from the proceeds of Borrowings made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except as otherwise expressly provided herein, any Lender shall, by exercising any right of set 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any Borrower or any Subsidiary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applicable Borrower prior to the date on which any payment is due to the Administrative Agent for the account of the relevant Lenders or the Issuing Bank hereunder that such Borrower will not make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5" w:name="page196"/>
    <w:bookmarkEnd w:id="195"/>
    <w:p>
      <w:pPr>
        <w:jc w:val="both"/>
        <w:spacing w:after="0" w:line="213" w:lineRule="auto"/>
        <w:rPr>
          <w:sz w:val="20"/>
          <w:szCs w:val="20"/>
          <w:color w:val="auto"/>
        </w:rPr>
      </w:pPr>
      <w:r>
        <w:rPr>
          <w:rFonts w:ascii="Times New Roman" w:cs="Times New Roman" w:eastAsia="Times New Roman" w:hAnsi="Times New Roman"/>
          <w:sz w:val="22"/>
          <w:szCs w:val="22"/>
          <w:color w:val="auto"/>
        </w:rPr>
        <w:t>such payment, the Administrative Agent may assume that such Borrower has made such payment on such date in accordance herewith and may, in reliance upon such assumption, distribute to the relevant Lenders or the Issuing Bank, as the case may be, the amount due. In such event, if such Borrower has not in fact made such payment, then each of the relevant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greater of the Overnight Rate and a rate determined by the Administrative Agent in accordance with banking industry rules on interbank compensation.</w:t>
      </w:r>
    </w:p>
    <w:p>
      <w:pPr>
        <w:spacing w:after="0" w:line="156" w:lineRule="exact"/>
        <w:rPr>
          <w:sz w:val="20"/>
          <w:szCs w:val="20"/>
          <w:color w:val="auto"/>
        </w:rPr>
      </w:pPr>
    </w:p>
    <w:p>
      <w:pPr>
        <w:jc w:val="both"/>
        <w:ind w:firstLine="656"/>
        <w:spacing w:after="0" w:line="220"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fail to make any payment required to be made by it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9.03(c)</w:t>
      </w:r>
      <w:r>
        <w:rPr>
          <w:rFonts w:ascii="Times New Roman" w:cs="Times New Roman" w:eastAsia="Times New Roman" w:hAnsi="Times New Roman"/>
          <w:sz w:val="22"/>
          <w:szCs w:val="22"/>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from time to time provide the Borrowers with account statements or invoices with respect to any of the Obligations (the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Obligations. If any Borrower pays the full amount indicated on a Statement on or before the later of the due date indicated on such Statement and the date required under this Agreement, such Borrower shall not be in default of payment with respect to the billing period indicated on such Statement;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58"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close of the first “accrual period” (within the meaning of Section 163(i)(2) of Code) ending after the fifth anniversary of each applicable Extended Term Loan and prior to the close of each subsequent accrual period (the date of each such payment, an “</w:t>
      </w:r>
      <w:r>
        <w:rPr>
          <w:rFonts w:ascii="Times New Roman" w:cs="Times New Roman" w:eastAsia="Times New Roman" w:hAnsi="Times New Roman"/>
          <w:sz w:val="22"/>
          <w:szCs w:val="22"/>
          <w:b w:val="1"/>
          <w:bCs w:val="1"/>
          <w:i w:val="1"/>
          <w:iCs w:val="1"/>
          <w:color w:val="auto"/>
        </w:rPr>
        <w:t>AHDYO Payment Date</w:t>
      </w:r>
      <w:r>
        <w:rPr>
          <w:rFonts w:ascii="Times New Roman" w:cs="Times New Roman" w:eastAsia="Times New Roman" w:hAnsi="Times New Roman"/>
          <w:sz w:val="22"/>
          <w:szCs w:val="22"/>
          <w:color w:val="auto"/>
        </w:rPr>
        <w:t>”), the Company shall prepay a principal amount of each applicable Extended Term Loan in an amount equal to the AHYDO Payment. Each AHYDO Payment shall be treated for tax purposes as a payment of original issue discount on such Extended Term Loan to the extent that the original issue discount has accrued as of the date such payment is due. This Section 2.17(h) is intended to ensure that such Extended Term Loan shall not be treated as an “applicable high yield discount obligation” within the meaning of Code Section 163(i)(1), and the provisions of this Agreement shall be construed pursuant to such intent.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3" w:lineRule="auto"/>
        <w:tabs>
          <w:tab w:leader="none" w:pos="129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if any Borrower is required to pay any Indemnified Taxes or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as the case may be, in the future and (ii) would not subject such Lender to any unreimbursed cost or expense and would not otherwise be materially disadvantageous to such Lender. Each Borrower hereby agrees to pay all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reasonable costs and expenses incurred by any Lender in connection with any such designation or assignment.</w:t>
      </w:r>
    </w:p>
    <w:p>
      <w:pPr>
        <w:spacing w:after="0" w:line="179" w:lineRule="exact"/>
        <w:rPr>
          <w:sz w:val="20"/>
          <w:szCs w:val="20"/>
          <w:color w:val="auto"/>
        </w:rPr>
      </w:pPr>
    </w:p>
    <w:p>
      <w:pPr>
        <w:jc w:val="both"/>
        <w:ind w:firstLine="656"/>
        <w:spacing w:after="0" w:line="206" w:lineRule="auto"/>
        <w:tabs>
          <w:tab w:leader="none" w:pos="129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 any Lender requests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(ii)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(iii) any Lender becomes a Defaulting Lender or (iv) any Lender shall become a Non-Consenting Lender (as defined below), then the Borrowers may, at their sole expense and effort, upon notice to such Lender and the Administrative Agent, (x) terminate the applicable Commitments of such Lender and repay the outstanding principal of its Loans of the relevant Class or Classes, accrued interest thereon, accrued fees and all other amounts payable to it hereunder as of such termination date or (y) require such Lender to assign and delegate, without recourse (in accordance with and subject to the restrictions contained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all its interests, rights (other than its existing rights to payments pursuant to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obligations under this Agreement and other Loan Documents to an assignee (other than any Ineligible Institution)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Borrowers shall have received the prior written consent of the Administrative Agent (to the extent the consent of the Administrative Agent would be required under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in circumstances where its consent would be required under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Issuing Bank and the Swingline Lender), which consent shall not unreasonably be withheld, conditioned or delayed, (B)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(C) in the case of the replacement of any Non-Consenting Lender, such replacement Lender agrees to the applicable proposed amendment, restatement, supplement, modification, waiver or consent and (D) in the case of any such assignment resulting from a claim for compensation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such assignment will result in a reduction in such compensation or payments. A Lender shall not be required to make any such assignment and delegation (and such termination repayment shall not occur) if, prior thereto, as a result of a waiver by such Lender or otherwise, the circumstances entitling the Borrowers to require such assignment, delegation, termination and repayment cease to apply (in the case of a termination and repayment, prior to the date fixed in the applicable notice to such lender for such termination and repayment). Each party hereto agrees that (1) an assignment required pursuant to this paragraph may be effected pursuant to an Assignment and Assumption executed by the Borrowers, the Administrative Agent and the assignee (or, to the extent applicable, an agreement incorporating an Assignment and Assumption by reference pursuant to an Approved Electronic Platform as to which the Administrative Agent and such parties are participants), and (2)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following the effectiveness of any such assignment, the other parties to such assignment agree to execute and deliver such documents necessary to evidence such assignment as reasonably requested by the applicable assigning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documents shall be without recourse to or warranty by the parties thereto. In the event that (i) the Borrowers or the Administrative Agent have requested the Lenders to consent to a departure or waiver of any provisions of the Loan Documents or to agree to any other modification thereto (including pursuant to </w:t>
      </w:r>
      <w:r>
        <w:rPr>
          <w:rFonts w:ascii="Times New Roman" w:cs="Times New Roman" w:eastAsia="Times New Roman" w:hAnsi="Times New Roman"/>
          <w:sz w:val="22"/>
          <w:szCs w:val="22"/>
          <w:u w:val="single" w:color="auto"/>
          <w:color w:val="auto"/>
        </w:rPr>
        <w:t>Section 2.23(b)</w:t>
      </w:r>
      <w:r>
        <w:rPr>
          <w:rFonts w:ascii="Times New Roman" w:cs="Times New Roman" w:eastAsia="Times New Roman" w:hAnsi="Times New Roman"/>
          <w:sz w:val="22"/>
          <w:szCs w:val="22"/>
          <w:color w:val="auto"/>
        </w:rPr>
        <w:t xml:space="preserve">), (ii) the consent, waiver or other modification in question requires the agreement of all Lenders (or, all directly and adversely affected Lenders or any other Class or group of Lenders other than Required Lenders (or other applicable majority) in accordance with the terms of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and (iii) the Required Lenders (or, in the case of any Class voting, the holders of a majority of the outstanding Loans and unused Commitments in respect of such Class) have agreed to such consent, waiver or other modification, then 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2"/>
          <w:szCs w:val="22"/>
          <w:color w:val="auto"/>
        </w:rPr>
        <w:t>Lender who does not agree to such consent, waiver or other modification shall be deemed a “</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50" w:lineRule="exact"/>
        <w:rPr>
          <w:sz w:val="20"/>
          <w:szCs w:val="20"/>
          <w:color w:val="auto"/>
        </w:rPr>
      </w:pPr>
    </w:p>
    <w:p>
      <w:pPr>
        <w:ind w:right="20" w:firstLine="656"/>
        <w:spacing w:after="0" w:line="236" w:lineRule="auto"/>
        <w:tabs>
          <w:tab w:leader="none" w:pos="12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fees shall cease to accrue on the unfunded portion of the Revolving Commitment of such Defaulting Lender pursuant to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Section 2.17(b)</w:t>
      </w:r>
      <w:r>
        <w:rPr>
          <w:rFonts w:ascii="Times New Roman" w:cs="Times New Roman" w:eastAsia="Times New Roman" w:hAnsi="Times New Roman"/>
          <w:sz w:val="21"/>
          <w:szCs w:val="21"/>
          <w:color w:val="auto"/>
        </w:rPr>
        <w:t xml:space="preserve"> or otherwise) or received by the Administrative Agent from a Defaulting Lender pursuant to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shall be applied at such time or times as may be determined by the Administrative Agent as follows: first, to the payment of any amounts owing by such Defaulting Lender to the Administrative Agent hereunder; second, if such Defaulting Lender is a Revolving Lender, to the payment on a pro rata basis of any amounts owing by such Defaulting Lender to any Issuing Bank or Swingline Lender hereunder; third, if such Defaulting Lender is a Revolving Lender, to cash collateralize LC Exposure with respect to such Defaulting Lender in accordance with this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xml:space="preserve">; fourth, as the Borrowers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if such Defaulting Lender is a Revolving Lender, cash collateralize future LC Exposure with respect to such Defaulting Lender with respect to future Letters of Credit issued under this Agreement, in accordance with this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xml:space="preserve">; sixth, to the payment of any amounts owing to the Lenders of the applicable Class and, if such Defaulting Lender is a Revolving Lender,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seventh, so long as no Default or Event of Default exists, to the payment of any amounts owing to any Borrower as a result of any judgment of a court of competent jurisdiction obtained by any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or waived, such payment shall be applied solely to pay the Loans of, and LC Disbursements owed to, all non-Defaulting Lenders of the applicable Class or Classes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of the applicable Class or Classes pro rata in accordance with the Revolving Commitments without giving effect to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below.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8" w:name="page199"/>
    <w:bookmarkEnd w:id="198"/>
    <w:p>
      <w:pPr>
        <w:jc w:val="both"/>
        <w:ind w:firstLine="656"/>
        <w:spacing w:after="0" w:line="215" w:lineRule="auto"/>
        <w:tabs>
          <w:tab w:leader="none" w:pos="129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Defaulting Lender shall not have the right to vote on any issue on which voting is required (other than to the extent expressly provided in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and the Revolving Commitment and Revolving Exposure of such Defaulting Lender shall not be included in determining whether the Required Lenders have taken or may take any action hereunder or under any other Loan Document; provided that, except as otherwise provided in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not apply to the vote of a Defaulting Lender in the case of an amendment, waiver or other modification requiring the consent of such Lender or each Lender directly affected thereby;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Defaulting Lender is a Revolving Lender and any Swingline Exposure or LC Exposure exists at the time such Revolving Lender becomes a Defaulting Lender then: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4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or any part of the Swingline Exposure and LC Exposure of such Defaulting Lender (other than, in the case of a Defaulting Lender that is a Swingline Lender, the portion of such Swingline Exposure referred to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such term) shall be reallocated among the non-Defaulting Lenders that are Revolving Lenders in accordance with their respective Applicable Percentages but only (x) to the extent that such reallocation does not, as to any non-Defaulting Lender, cause such non-Defaulting Lender’s Revolving Exposure to exceed its Revolving Commitment;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reallocation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cannot, or can only partially, be effected, the Borrowers shall within one (1) Business Day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in accordance with the procedures set forth in </w:t>
      </w:r>
      <w:r>
        <w:rPr>
          <w:rFonts w:ascii="Times New Roman" w:cs="Times New Roman" w:eastAsia="Times New Roman" w:hAnsi="Times New Roman"/>
          <w:sz w:val="21"/>
          <w:szCs w:val="21"/>
          <w:u w:val="single" w:color="auto"/>
          <w:color w:val="auto"/>
        </w:rPr>
        <w:t>Section 2.05(j)</w:t>
      </w:r>
      <w:r>
        <w:rPr>
          <w:rFonts w:ascii="Times New Roman" w:cs="Times New Roman" w:eastAsia="Times New Roman" w:hAnsi="Times New Roman"/>
          <w:sz w:val="21"/>
          <w:szCs w:val="21"/>
          <w:color w:val="auto"/>
        </w:rPr>
        <w:t xml:space="preserve"> for so long as such LC Exposure is outstanding;</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20" w:lineRule="auto"/>
        <w:tabs>
          <w:tab w:leader="none" w:pos="1956"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Borrowers cash collateralize any portion of such Defaulting Lender’s LC Exposure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the Borrowers shall not be required to pay any fees to such Defaulting Lender pursuant to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xml:space="preserve"> with respect to such Defaulting Lender’s LC Exposure during the period such Defaulting Lender’s LC Exposure is cash collateralized;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LC Exposure of the non-Defaulting Lenders is reallocated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then the fees payable to the Lenders pursuant to </w:t>
      </w:r>
      <w:r>
        <w:rPr>
          <w:rFonts w:ascii="Times New Roman" w:cs="Times New Roman" w:eastAsia="Times New Roman" w:hAnsi="Times New Roman"/>
          <w:sz w:val="22"/>
          <w:szCs w:val="22"/>
          <w:u w:val="single" w:color="auto"/>
          <w:color w:val="auto"/>
        </w:rPr>
        <w:t>Sections 2.12(a)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xml:space="preserve"> shall be adjusted in accordance with such non-Defaulting Lenders’ Applicable Percentages;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all or any portion of such Defaulting Lender’s LC Exposure is neither reallocated nor cash collateralized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then, without prejudice to any rights or remedies of the Issuing Bank or any other Lender hereunder, all letter of credit fees payable under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xml:space="preserve"> with respect to such Defaulting Lender’s LC Exposure shall be payable to the Issuing Bank until and to the extent that such LC Exposure is reallocated and/or cash collateralized; and</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Defaulting Lender is a Revolving Lender, then for 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Borrowers in accordance with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 and Swingline Exposure related to any such newly made Swingline Loan or LC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99" w:name="page200"/>
    <w:bookmarkEnd w:id="19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Exposure related to any newly issued or increased Letter of Credit shall be allocated among non-Defaulting Lenders in a manner consistent with </w:t>
      </w:r>
      <w:r>
        <w:rPr>
          <w:rFonts w:ascii="Times New Roman" w:cs="Times New Roman" w:eastAsia="Times New Roman" w:hAnsi="Times New Roman"/>
          <w:sz w:val="22"/>
          <w:szCs w:val="22"/>
          <w:u w:val="single" w:color="auto"/>
          <w:color w:val="auto"/>
        </w:rPr>
        <w:t>Section 2.19(d)(i)</w:t>
      </w:r>
      <w:r>
        <w:rPr>
          <w:rFonts w:ascii="Times New Roman" w:cs="Times New Roman" w:eastAsia="Times New Roman" w:hAnsi="Times New Roman"/>
          <w:sz w:val="22"/>
          <w:szCs w:val="22"/>
          <w:color w:val="auto"/>
        </w:rPr>
        <w:t xml:space="preserve"> (and such Defaulting Lender shall not participate therein).</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(i) a Bankruptcy Event or a Bail-In Action with respect to a Lender Parent of any Revolving Lender shall occur following the Effective Date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Borrowers or such Lender, satisfactory to the Swingline Lender or the Issuing Bank, as the case may be, to defease any risk to it in respect of such Lender hereunder.</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the event that each of the Administrative Agent, the Borrowers and, if the applicable Defaulting Lender is a Revolving Lender, the Swingline Lender and the Issuing Bank agrees that a Defaulting Lender has adequately remedied all matters that caused such Lender to be a Defaulting Lender, then, if such Defaulting Lender is a Revolving Lender,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6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Returned Payments</w:t>
      </w:r>
      <w:r>
        <w:rPr>
          <w:rFonts w:ascii="Times New Roman" w:cs="Times New Roman" w:eastAsia="Times New Roman" w:hAnsi="Times New Roman"/>
          <w:sz w:val="22"/>
          <w:szCs w:val="22"/>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shall survive the termination of this Agreement.</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Banking Services and Swap Agreements</w:t>
      </w:r>
      <w:r>
        <w:rPr>
          <w:rFonts w:ascii="Times New Roman" w:cs="Times New Roman" w:eastAsia="Times New Roman" w:hAnsi="Times New Roman"/>
          <w:sz w:val="22"/>
          <w:szCs w:val="22"/>
          <w:color w:val="auto"/>
        </w:rPr>
        <w:t>. Each Lender or Affiliate thereof providing Banking Services for, or having Swap Agreements with, any Loan Party or any Restricted Subsidiary of a Loan Party, shall deliver to the Administrative Agent, promptly after entering into such Banking Services or Swap Agreements, written notice setting forth the aggregate amount of all Banking Services Obligations and Swap Obligations of such Loan Party or Restricted Subsidiary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Obligations. The most recent information provided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0" w:name="page201"/>
    <w:bookmarkEnd w:id="200"/>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the Administrative Agent shall be used in determining which tier of the waterfall, contained in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xml:space="preserve">, such Banking Services Obligations and/or Swap Obligations will be placed. For the avoidance of doubt, so long as JPMCB or its Affiliate is the Administrative Agent, neither JPMCB nor any of its Affiliates providing Banking Services for, or having Swap Agreements with, any Loan Party or any Restricted Subsidiary of a Loan Party shall be required to provide any notice described in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in respect of such Banking Services or Swap Agreements.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2.22</w:t>
      </w:r>
      <w:r>
        <w:rPr>
          <w:sz w:val="20"/>
          <w:szCs w:val="20"/>
          <w:color w:val="auto"/>
        </w:rPr>
        <w:tab/>
      </w:r>
      <w:r>
        <w:rPr>
          <w:rFonts w:ascii="Times New Roman" w:cs="Times New Roman" w:eastAsia="Times New Roman" w:hAnsi="Times New Roman"/>
          <w:sz w:val="21"/>
          <w:szCs w:val="21"/>
          <w:u w:val="single" w:color="auto"/>
          <w:color w:val="auto"/>
        </w:rPr>
        <w:t>Foreign Subsidiary Borrowers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designate any Foreign Subsidiary that is a Wholly-Owned Subsidiary as a Foreign Subsidiary Borrower by delivery to the Administrative Agent of a Foreign Subsidiary Borrower Agreement executed by such Foreign Subsidiary and the Company. Each such designation shall be subject to the consent of the Administrative Agent and each Lender (which consent shall not unreasonably be withheld, conditioned or delayed). In addition, no Foreign Subsidiary may become a Foreign Subsidiary Borrower if any Lender that as a result thereof would be obligated to lend to it may not at such time legally lend to such Foreign Subsidiary unless other arrangements in respect thereof have been made that are acceptable to such Lender.</w:t>
      </w:r>
    </w:p>
    <w:p>
      <w:pPr>
        <w:spacing w:after="0" w:line="153" w:lineRule="exact"/>
        <w:rPr>
          <w:rFonts w:ascii="Times New Roman" w:cs="Times New Roman" w:eastAsia="Times New Roman" w:hAnsi="Times New Roman"/>
          <w:sz w:val="21"/>
          <w:szCs w:val="21"/>
          <w:color w:val="auto"/>
        </w:rPr>
      </w:pPr>
    </w:p>
    <w:p>
      <w:pPr>
        <w:jc w:val="both"/>
        <w:ind w:firstLine="656"/>
        <w:spacing w:after="0" w:line="212" w:lineRule="auto"/>
        <w:tabs>
          <w:tab w:leader="none" w:pos="129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execution by the Company and delivery to the Administrative Agent of a Foreign Subsidiary Borrower Termination with respect to any Foreign Subsidiary Borrower, such Restricted Subsidiary shall cease to be a Foreign Subsidiary Borrower and a party to this Agreement and, at the Company’s option, shall become an Excluded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Foreign Subsidiary Borrower Termination will become effective as to any Foreign Subsidiary Borrower (other than to terminate such Foreign Subsidiary Borrower’s right to make further Borrowings under this Agreement) at a time when any principal of or interest on any Loan to such Foreign Subsidiary Borrower shall be outstanding hereunder. Following receipt of any Foreign Subsidiary Borrower Agreement or Foreign Subsidiary Borrower Termination, the Administrative Agent shall send a copy thereof to each Lender.</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2.23</w:t>
      </w:r>
      <w:r>
        <w:rPr>
          <w:sz w:val="20"/>
          <w:szCs w:val="20"/>
          <w:color w:val="auto"/>
        </w:rPr>
        <w:tab/>
      </w:r>
      <w:r>
        <w:rPr>
          <w:rFonts w:ascii="Times New Roman" w:cs="Times New Roman" w:eastAsia="Times New Roman" w:hAnsi="Times New Roman"/>
          <w:sz w:val="21"/>
          <w:szCs w:val="21"/>
          <w:u w:val="single" w:color="auto"/>
          <w:color w:val="auto"/>
        </w:rPr>
        <w:t>Extension Facilities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9" w:lineRule="auto"/>
        <w:tabs>
          <w:tab w:leader="none" w:pos="129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and from time to time request that all or a portion of the Incremental Term Loans of any Class (an “</w:t>
      </w:r>
      <w:r>
        <w:rPr>
          <w:rFonts w:ascii="Times New Roman" w:cs="Times New Roman" w:eastAsia="Times New Roman" w:hAnsi="Times New Roman"/>
          <w:sz w:val="22"/>
          <w:szCs w:val="22"/>
          <w:u w:val="single" w:color="auto"/>
          <w:color w:val="auto"/>
        </w:rPr>
        <w:t>Existing Term Loan Class</w:t>
      </w:r>
      <w:r>
        <w:rPr>
          <w:rFonts w:ascii="Times New Roman" w:cs="Times New Roman" w:eastAsia="Times New Roman" w:hAnsi="Times New Roman"/>
          <w:sz w:val="22"/>
          <w:szCs w:val="22"/>
          <w:color w:val="auto"/>
        </w:rPr>
        <w:t>”) be converted to extend the scheduled maturity date(s) of any payment of principal with respect to all or a portion of any principal amount of such Incremental Term Loans (any such Incremental Term Loans which have been so converted, “</w:t>
      </w:r>
      <w:r>
        <w:rPr>
          <w:rFonts w:ascii="Times New Roman" w:cs="Times New Roman" w:eastAsia="Times New Roman" w:hAnsi="Times New Roman"/>
          <w:sz w:val="22"/>
          <w:szCs w:val="22"/>
          <w:u w:val="single" w:color="auto"/>
          <w:color w:val="auto"/>
        </w:rPr>
        <w:t>Extended Term Loans</w:t>
      </w:r>
      <w:r>
        <w:rPr>
          <w:rFonts w:ascii="Times New Roman" w:cs="Times New Roman" w:eastAsia="Times New Roman" w:hAnsi="Times New Roman"/>
          <w:sz w:val="22"/>
          <w:szCs w:val="22"/>
          <w:color w:val="auto"/>
        </w:rPr>
        <w:t>”) and to provide for other terms consistent with this Section 2.23. In order to establish any Extended Term Loans, the Company shall provide a notice to the Administrative Agent (who shall provide a copy of such notice to each of the Lenders of the applicable Existing Term Loan Class which such request shall be offered equally to all such Lenders) (a “</w:t>
      </w:r>
      <w:r>
        <w:rPr>
          <w:rFonts w:ascii="Times New Roman" w:cs="Times New Roman" w:eastAsia="Times New Roman" w:hAnsi="Times New Roman"/>
          <w:sz w:val="22"/>
          <w:szCs w:val="22"/>
          <w:u w:val="single" w:color="auto"/>
          <w:color w:val="auto"/>
        </w:rPr>
        <w:t>Term Loan Extension Request</w:t>
      </w:r>
      <w:r>
        <w:rPr>
          <w:rFonts w:ascii="Times New Roman" w:cs="Times New Roman" w:eastAsia="Times New Roman" w:hAnsi="Times New Roman"/>
          <w:sz w:val="22"/>
          <w:szCs w:val="22"/>
          <w:color w:val="auto"/>
        </w:rPr>
        <w:t xml:space="preserve">”) setting forth the proposed terms of the Extended Term Loans to be established, which shall (x) be identical as offered to each Lender under such applicable Existing Term Loan Class (including as to the proposed interest rates and fees payable, but excluding any arrangement, structuring, underwriting, ticking, consent, and amendment or other similar fees payable in connection therewith that are not generally shared with the relevant Lenders) and offered to each Lender under such Existing Term Loan Class in accordance with its Applicable Percentage with respect thereto and (y) be identical to the Incremental Term Loans under the Existing Term Loan Class from which such Extended Term Loans are to be converted;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the scheduled final maturity date of the Extended Term Loans shall be extended and all or any of the scheduled amortization payments of principal of the Extended Term Loans may be delayed to later dates than the scheduled amortization of principal of the Incremental Term Loans of such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1" w:name="page202"/>
    <w:bookmarkEnd w:id="201"/>
    <w:p>
      <w:pPr>
        <w:jc w:val="both"/>
        <w:spacing w:after="0" w:line="207" w:lineRule="auto"/>
        <w:rPr>
          <w:sz w:val="20"/>
          <w:szCs w:val="20"/>
          <w:color w:val="auto"/>
        </w:rPr>
      </w:pPr>
      <w:r>
        <w:rPr>
          <w:rFonts w:ascii="Times New Roman" w:cs="Times New Roman" w:eastAsia="Times New Roman" w:hAnsi="Times New Roman"/>
          <w:sz w:val="22"/>
          <w:szCs w:val="22"/>
          <w:color w:val="auto"/>
        </w:rPr>
        <w:t>Existing Term Loan Class (with any such delay resulting in a corresponding adjustment to the scheduled amortization payments reflected in this Agreement with respect to the Existing Term Loan Class from which such Extended Term Loans were converted as set forth below),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pricing, fees, optional prepayment or redemption terms shall be determined in good faith by the Company and the interest margins and floors with respect to the Extended Term Loans may be higher or lower than the interest margins and floors for the Incremental Term Loans of such Existing Term Loan Class and/or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additional fees, premiums or AHYDO Payments may be payable to the Lenders providing such Extended Term Loans in addition to or in lieu of any increased margins and floors contemplated by the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in each case, to the extent provided in the applicable Extension Amendment,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the Extended Term Loans may participate on a pro rata basis, greater than pro rata basis or less than pro rata basis in any voluntary prepayment of any Class of Incremental Term Loans hereunder and may participate on a pro rata basis or less than pro rata basis (but not on a greater than pro rata basis) in any mandatory prepayments of any Class of Incremental Term Loans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Extended Term Loans may be optionally prepaid or mandatorily repaid (other than scheduled amortization) prior to the date on which all Incremental Term Loans with an earlier final stated maturity (including Incremental Term Loans under the Existing Term Loan Class from which they were converted) are repaid in full, unless such prepayment or repayment is in accordance with the theretofore existing provisions of this Agreement or is accompanied by at least a pro rata prepayment or repayment of such other Incremental Term Loans, as applicable),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Extended Term Loans may have call protection and similar redemption terms as may be agreed by the Company and the Lenders thereof,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the Extended Term Loans shall be evidenced by this Agreement (as may be amended as contemplated in this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 shall be subject to and satisfy the applicable Specified Debt Conditions and shall rank pari passu in right of payment with the Revolving Loans, Revolving Commitments and the other Incremental Term Loans (or any extension or refinancing thereof evidenced by this Agreement) and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no consent shall be required by the Administrative Agent (unless such consent would have been required for any assignment of such Incremental Term Loans under Section 9.04) or any of the Lenders. No Lender shall have any obligation to agree to have any of its Incremental Term Loans of any Existing Term Loan Class converted into Extended Term Loans pursuant to any Extension Request.</w:t>
      </w:r>
    </w:p>
    <w:p>
      <w:pPr>
        <w:spacing w:after="0" w:line="166" w:lineRule="exact"/>
        <w:rPr>
          <w:sz w:val="20"/>
          <w:szCs w:val="20"/>
          <w:color w:val="auto"/>
        </w:rPr>
      </w:pPr>
    </w:p>
    <w:p>
      <w:pPr>
        <w:jc w:val="both"/>
        <w:ind w:firstLine="656"/>
        <w:spacing w:after="0" w:line="208" w:lineRule="auto"/>
        <w:tabs>
          <w:tab w:leader="none" w:pos="129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and from time to time request that all (but not a portion) of the Revolving Commitments, each existing at the time of such request (each, an “</w:t>
      </w:r>
      <w:r>
        <w:rPr>
          <w:rFonts w:ascii="Times New Roman" w:cs="Times New Roman" w:eastAsia="Times New Roman" w:hAnsi="Times New Roman"/>
          <w:sz w:val="22"/>
          <w:szCs w:val="22"/>
          <w:u w:val="single" w:color="auto"/>
          <w:color w:val="auto"/>
        </w:rPr>
        <w:t>Existing Revolving Credit Commitment</w:t>
      </w:r>
      <w:r>
        <w:rPr>
          <w:rFonts w:ascii="Times New Roman" w:cs="Times New Roman" w:eastAsia="Times New Roman" w:hAnsi="Times New Roman"/>
          <w:sz w:val="22"/>
          <w:szCs w:val="22"/>
          <w:color w:val="auto"/>
        </w:rPr>
        <w:t>” and any related Revolving Loans thereunder, “</w:t>
      </w:r>
      <w:r>
        <w:rPr>
          <w:rFonts w:ascii="Times New Roman" w:cs="Times New Roman" w:eastAsia="Times New Roman" w:hAnsi="Times New Roman"/>
          <w:sz w:val="22"/>
          <w:szCs w:val="22"/>
          <w:u w:val="single" w:color="auto"/>
          <w:color w:val="auto"/>
        </w:rPr>
        <w:t>Existing Revolving Credit Loans</w:t>
      </w:r>
      <w:r>
        <w:rPr>
          <w:rFonts w:ascii="Times New Roman" w:cs="Times New Roman" w:eastAsia="Times New Roman" w:hAnsi="Times New Roman"/>
          <w:sz w:val="22"/>
          <w:szCs w:val="22"/>
          <w:color w:val="auto"/>
        </w:rPr>
        <w:t>”; each Existing Revolving Credit Commitment and related Existing Revolving Credit Loans together being referred to as an “</w:t>
      </w:r>
      <w:r>
        <w:rPr>
          <w:rFonts w:ascii="Times New Roman" w:cs="Times New Roman" w:eastAsia="Times New Roman" w:hAnsi="Times New Roman"/>
          <w:sz w:val="22"/>
          <w:szCs w:val="22"/>
          <w:u w:val="single" w:color="auto"/>
          <w:color w:val="auto"/>
        </w:rPr>
        <w:t>Existing Revolving Credit Class</w:t>
      </w:r>
      <w:r>
        <w:rPr>
          <w:rFonts w:ascii="Times New Roman" w:cs="Times New Roman" w:eastAsia="Times New Roman" w:hAnsi="Times New Roman"/>
          <w:sz w:val="22"/>
          <w:szCs w:val="22"/>
          <w:color w:val="auto"/>
        </w:rPr>
        <w:t>”) be converted to extend the termination date thereof and the scheduled maturity date(s) of any payment of principal with respect to all (but not a portion) of any principal amount of Revolving Loans related to such Existing Revolving Credit Commitments (any such Existing Revolving Credit Commitments which have been so extended, “</w:t>
      </w:r>
      <w:r>
        <w:rPr>
          <w:rFonts w:ascii="Times New Roman" w:cs="Times New Roman" w:eastAsia="Times New Roman" w:hAnsi="Times New Roman"/>
          <w:sz w:val="22"/>
          <w:szCs w:val="22"/>
          <w:u w:val="single" w:color="auto"/>
          <w:color w:val="auto"/>
        </w:rPr>
        <w:t>Extended Revolving Credit Commitments</w:t>
      </w:r>
      <w:r>
        <w:rPr>
          <w:rFonts w:ascii="Times New Roman" w:cs="Times New Roman" w:eastAsia="Times New Roman" w:hAnsi="Times New Roman"/>
          <w:sz w:val="22"/>
          <w:szCs w:val="22"/>
          <w:color w:val="auto"/>
        </w:rPr>
        <w:t>” and any related Revolving Loans, “</w:t>
      </w:r>
      <w:r>
        <w:rPr>
          <w:rFonts w:ascii="Times New Roman" w:cs="Times New Roman" w:eastAsia="Times New Roman" w:hAnsi="Times New Roman"/>
          <w:sz w:val="22"/>
          <w:szCs w:val="22"/>
          <w:u w:val="single" w:color="auto"/>
          <w:color w:val="auto"/>
        </w:rPr>
        <w:t>Extended Revolving Credit Loans</w:t>
      </w:r>
      <w:r>
        <w:rPr>
          <w:rFonts w:ascii="Times New Roman" w:cs="Times New Roman" w:eastAsia="Times New Roman" w:hAnsi="Times New Roman"/>
          <w:sz w:val="22"/>
          <w:szCs w:val="22"/>
          <w:color w:val="auto"/>
        </w:rPr>
        <w:t xml:space="preserve">”) and to provide for other terms consistent with this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 In order to establish any Extended Revolving Credit Commitments, the Company shall provide a notice to the Administrative Agent (who shall provide a copy of such notice to each of the Lenders of the applicable Class of Existing Revolving Credit Commitments which such request shall be offered equally to all such Lenders) (a “</w:t>
      </w:r>
      <w:r>
        <w:rPr>
          <w:rFonts w:ascii="Times New Roman" w:cs="Times New Roman" w:eastAsia="Times New Roman" w:hAnsi="Times New Roman"/>
          <w:sz w:val="22"/>
          <w:szCs w:val="22"/>
          <w:u w:val="single" w:color="auto"/>
          <w:color w:val="auto"/>
        </w:rPr>
        <w:t>Revolving Credit Loan Extension Request</w:t>
      </w:r>
      <w:r>
        <w:rPr>
          <w:rFonts w:ascii="Times New Roman" w:cs="Times New Roman" w:eastAsia="Times New Roman" w:hAnsi="Times New Roman"/>
          <w:sz w:val="22"/>
          <w:szCs w:val="22"/>
          <w:color w:val="auto"/>
        </w:rPr>
        <w:t>”) setting forth the proposed terms of the Extended Revolving Credit Commitments to be established (the “</w:t>
      </w:r>
      <w:r>
        <w:rPr>
          <w:rFonts w:ascii="Times New Roman" w:cs="Times New Roman" w:eastAsia="Times New Roman" w:hAnsi="Times New Roman"/>
          <w:sz w:val="22"/>
          <w:szCs w:val="22"/>
          <w:u w:val="single" w:color="auto"/>
          <w:color w:val="auto"/>
        </w:rPr>
        <w:t>Specified Existing Revolving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which shall (x) be identical as offered to each Lender under such applicable Existing Revolving Credit Class (including as to the proposed interest rates and fees payable, but excluding any arrangement, structuring, underwriting, ticking, consent, and amendment or other similar fees payable in connection therewith that are not generally shared with the relevant Lenders) and offered to each Lender under such Existing Revolving Credit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2" w:name="page203"/>
    <w:bookmarkEnd w:id="202"/>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Class in accordance with its Applicable Percentage with respect thereto and (y) be identical to the Revolving Commitments and Revolving Loans under the Existing Revolving Credit Class from which such Extended Revolving Credit Loans and Extended Revolving Credit Commitments are to be converted;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(1) 100% of the Lenders holding the Existing Revolving Credit Loans and Existing Revolving Credit Commitments subject to any Revolving Credit Loan Extension Request shall have consented thereto (subject to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(2) the Extended Revolving Credit Commitments and Extended Revolving Credit Loans shall be evidenced by this Agreement, shall be subject to and shall satisfy the applicable Specified Debt Conditions and shall rank pari passu in right of payment with the Incremental Term Loans (or any extension or refinancing thereof evidenced by this Agreement), (3)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the interest margins and floors with respect to the Extended Revolving Credit Commitments and Extended Revolving Credit Loans may be higher or lower than the interest margins and floors for the Specified Existing Revolving Credit Commitments and/or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additional fees and premiums may be payable to the Lenders providing such Extended Revolving Credit Commitments and Extended Revolving Credit Loans in addition to or in lieu of any increased margins and floors contemplated by the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(4) the commitment fee rate with respect to the Extended Revolving Credit Commitments may be higher or lower than the commitment fee rate for the Specified Existing Revolving Credit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to the contrary in this </w:t>
      </w:r>
      <w:r>
        <w:rPr>
          <w:rFonts w:ascii="Times New Roman" w:cs="Times New Roman" w:eastAsia="Times New Roman" w:hAnsi="Times New Roman"/>
          <w:sz w:val="21"/>
          <w:szCs w:val="21"/>
          <w:u w:val="single" w:color="auto"/>
          <w:color w:val="auto"/>
        </w:rPr>
        <w:t>Section 2.23</w:t>
      </w:r>
      <w:r>
        <w:rPr>
          <w:rFonts w:ascii="Times New Roman" w:cs="Times New Roman" w:eastAsia="Times New Roman" w:hAnsi="Times New Roman"/>
          <w:sz w:val="21"/>
          <w:szCs w:val="21"/>
          <w:color w:val="auto"/>
        </w:rPr>
        <w:t xml:space="preserve"> or otherwise, assignments and participations of Extended Revolving Credit Commitments and Extended Revolving Credit Loans shall be governed by the same assignment and participation provisions applicable to Revolving Commitments and the Revolving Loans set forth in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(5) each of the Administrative Agent, the Issuing Bank and the Swingline Lender shall have consented to each Lender holding any Extended Revolving Credit Commitments or Extended Revolving Credit Loans and the terms and conditions of the applicable Extension Amendment. No Lender shall have any obligation to agree to have any of its Revolving Loans or Revolving Commitments of any Existing Revolving Credit Class converted into Extended Revolving Credit Loans or Extended Revolving Credit Commitments pursuant to any Revolving Credit Loan Extension Request.</w:t>
      </w:r>
    </w:p>
    <w:p>
      <w:pPr>
        <w:spacing w:after="0" w:line="167" w:lineRule="exact"/>
        <w:rPr>
          <w:sz w:val="20"/>
          <w:szCs w:val="20"/>
          <w:color w:val="auto"/>
        </w:rPr>
      </w:pPr>
    </w:p>
    <w:p>
      <w:pPr>
        <w:jc w:val="both"/>
        <w:ind w:firstLine="656"/>
        <w:spacing w:after="0" w:line="208" w:lineRule="auto"/>
        <w:tabs>
          <w:tab w:leader="none" w:pos="129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the applicable Extension Request (which may be in the form of a term sheet posted to a website for the benefit of the Lenders) at least five (5) Business Days prior to the date on which Lenders under the Existing Term Loan Class or Existing Revolving Credit Class, as applicable, are requested to respond (although any changes to terms previously announced shall only require two (2) Business Days’ prior written notice), and shall agree to such procedures, if any, as may be reasonably requested by, or acceptable to, the Administrative Agent, in each case acting reasonably to accomplish the purposes of this Section 2.23. Any Lender (an “</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wishing to have all or a portion of its Incremental Term Loans or all of its Revolving Commitment of the existing Class or existing Classes subject to such Extension Request converted into Extended Term Loans or Extended Revolving Credit Commitments, as applicable, shall notify the Administrative Agent (an “</w:t>
      </w:r>
      <w:r>
        <w:rPr>
          <w:rFonts w:ascii="Times New Roman" w:cs="Times New Roman" w:eastAsia="Times New Roman" w:hAnsi="Times New Roman"/>
          <w:sz w:val="22"/>
          <w:szCs w:val="22"/>
          <w:u w:val="single" w:color="auto"/>
          <w:color w:val="auto"/>
        </w:rPr>
        <w:t>Extension Election</w:t>
      </w:r>
      <w:r>
        <w:rPr>
          <w:rFonts w:ascii="Times New Roman" w:cs="Times New Roman" w:eastAsia="Times New Roman" w:hAnsi="Times New Roman"/>
          <w:sz w:val="22"/>
          <w:szCs w:val="22"/>
          <w:color w:val="auto"/>
        </w:rPr>
        <w:t>”) on or prior to the date specified in such Extension Request of the amount of its Incremental Term Loans or Revolving Commitments of the existing Class or existing Classes subject to such Extension Request that it has elected to convert into Extended Term Loans or Extended Revolving Credit Commitments, as applicable (it being understood and agreed that only all of (and not a portion of) the Revolving Commitments may be extended in accordance with this Section 2.23). In the event that the aggregate amount of Incremental Term Loans of the existing Class or existing Classes subject to Extension Elections exceeds the amount of Extended Term Loans requested pursuant to the Extension Request, Incremental Term Loans of the existing Class or existing Classes subject to Extension Elections shall be converted to Extended Term Loans on a pro rata basis (subject to rounding by the Administrative Agent, which shall be conclusive) based on the amount of Incremental Term Loans included in each such Extension Election.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3" w:name="page204"/>
    <w:bookmarkEnd w:id="203"/>
    <w:p>
      <w:pPr>
        <w:jc w:val="both"/>
        <w:ind w:firstLine="656"/>
        <w:spacing w:after="0" w:line="222" w:lineRule="auto"/>
        <w:tabs>
          <w:tab w:leader="none" w:pos="129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Extended Term Loans or Extended Revolving Credit Commitments, as applicable, shall be established pursuant to an amendment to, or amendment and restatement of, this Agreement (an “</w:t>
      </w:r>
      <w:r>
        <w:rPr>
          <w:rFonts w:ascii="Times New Roman" w:cs="Times New Roman" w:eastAsia="Times New Roman" w:hAnsi="Times New Roman"/>
          <w:sz w:val="21"/>
          <w:szCs w:val="21"/>
          <w:u w:val="single" w:color="auto"/>
          <w:color w:val="auto"/>
        </w:rPr>
        <w:t>Extension Amendment</w:t>
      </w:r>
      <w:r>
        <w:rPr>
          <w:rFonts w:ascii="Times New Roman" w:cs="Times New Roman" w:eastAsia="Times New Roman" w:hAnsi="Times New Roman"/>
          <w:sz w:val="21"/>
          <w:szCs w:val="21"/>
          <w:color w:val="auto"/>
        </w:rPr>
        <w:t xml:space="preserve">”) executed by the Company, the Administrative Agent, the Extending Lenders and, in the case of Extended Revolving Credit Commitments, the Issuing Bank and the Swingline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to the extent expressly contemplated by this Section 2.23 and notwithstanding anything to the contrary set forth in Section 9.02, each Extension Amendment shall (i) be consistent with the provisions set forth in this Section 2.23, (ii) be reasonably satisfactory to the Administrative Agent, (iii) include representations (x) as to the accuracy of representations and warranties set forth in Article III of this Agreement and in the other Loan Documents in all material respects (without duplication of materiality qualifiers) immediately before and after giving effect to such Extension Amendment and the transactions contemplated thereby and (y) that no Event of Default shall have occurred and be continuing as of the effective date of such Extension Amendment or immediately after giving effect to such Extension Amendment and the transactions contemplated thereby, (iv) be subject to any applicable Extension Minimum Condition (unless waived by the Company) and (v) to the extent reasonably requested by the Administrative Agent, be subject to receipt by the Administrative Agent of (x) customary board resolutions and officers’ certificates consistent with those delivered on the Effective Date, (y) customary opinions of counsel to the Loan Parties consistent with those delivered on the Effective Date (other than changes to legal opinions resulting from a change in counsel, change in law, change in fact or change in counsel’s form of opinion reasonably acceptable to the Administrative Agent) and (z) supplemental or reaffirmation agreements and/or such amendments to the Loan Documents as may be reasonably requested by the Administrative Agent in order to ensure that the Extended Term Loans, Extended Revolving Credit Loans and Extended Revolving Credit Commitments, as applicable, are provided with the benefit of the applicable Loan Documents. The Administrative Agent shall promptly notify each Lender as to the effectiveness of each such Extension Amendment be reasonably acceptable to the Administrative Agent and shall not require the consent of any Lender other than the Extending Lenders with respect to the Extended Term Loans, Extended Revolving Credit Loans and Extended Revolving Credit Commitments, as applicable, established thereby. No Extension Amendment shall provide for any Class of Extended Term Loans, Extended Revolving Credit Loans and Extended Revolving Credit Commitments in an aggregate principal amount that is less than $5,000,000 (it being understood that the actual principal amount thereof provided by the applicable Lenders may be lower than such minimum amount), and the Company may condition the effectiveness of any Extension Amendment in respect of Extended Term Loans on an Extension Minimum Condition, which may be waived by the Company in its sole discretion. In addition to any terms and changes required or permitted by this Section 2.23, each Extension Amendment (x) shall amend the scheduled amortization payments pursuant to this Agreement with respect to the Existing Term Loan Class from which the Extended Term Loans were converted to reduce each scheduled repayment amount, if any, for the Existing Term Loan Class in the same proportion as the amount of Incremental Term Loans of the Existing Term Loan Class is to be converted pursuant to such Extension Amendment (it being understood that the amount of any repayment amount, if any, payable with respect to any individual Incremental Term Loan of such Existing Term Loan Class that is not an Extended Term Loan shall not be reduced as a result thereof) and (y) may, but shall not be required to, impose additional terms and conditions applicable to the Extended Term Loans or Extended Revolving Credit Commitments, in each case, to the extent applicable only during periods after the latest Maturity Date (determined at the time of the applicable Extension Request) of any Loans or Commitments hereunder that are not subject to the applicable extension.</w:t>
      </w:r>
    </w:p>
    <w:p>
      <w:pPr>
        <w:spacing w:after="0" w:line="174"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on any date on which any existing Class is converted to extend the related scheduled maturity date(s) in accordance with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Section 2.23 above (an “</w:t>
      </w:r>
      <w:r>
        <w:rPr>
          <w:rFonts w:ascii="Times New Roman" w:cs="Times New Roman" w:eastAsia="Times New Roman" w:hAnsi="Times New Roman"/>
          <w:sz w:val="22"/>
          <w:szCs w:val="22"/>
          <w:u w:val="single" w:color="auto"/>
          <w:color w:val="auto"/>
        </w:rPr>
        <w:t>Extension Date</w:t>
      </w:r>
      <w:r>
        <w:rPr>
          <w:rFonts w:ascii="Times New Roman" w:cs="Times New Roman" w:eastAsia="Times New Roman" w:hAnsi="Times New Roman"/>
          <w:sz w:val="22"/>
          <w:szCs w:val="22"/>
          <w:color w:val="auto"/>
        </w:rPr>
        <w:t>”), in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4" w:name="page205"/>
    <w:bookmarkEnd w:id="204"/>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the case of the existing Incremental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Incremental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Extended Term Loans converted from an Existing Term Loan Class may, to the extent provided in the applicable Extension Amendment, be designated as an increase in any then outstanding Class of Incremental Term Loans other than the Existing Term Loan Class from which such Extended Term Loans were converted (in which case scheduled amortization with respect thereto shall be proportionally increased).</w:t>
      </w:r>
    </w:p>
    <w:p>
      <w:pPr>
        <w:spacing w:after="0" w:line="1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III.</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Borrowers represents and warrants to the Lenders that:</w:t>
      </w:r>
    </w:p>
    <w:p>
      <w:pPr>
        <w:spacing w:after="0" w:line="19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xml:space="preserve">. Each of the Loan Parties (a) is duly incorporated, organized or formed, as applicable, validly existing and in good standing (to the extent such concept is applicable in the relevant jurisdiction) under the laws of the jurisdiction of its incorporation, organization or formation, as applicable, (b) has all requisite power and authority to carry on its business as now conducted and (c) is qualified to do business in, and is in good standing in (to the extent such concept is applicable in the relevant jurisdiction), every jurisdiction where such qualification is required except, in each case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(other than with respect to the Company),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where the failure to do so, individually or in the aggregate, could not reasonably be expected to result in a Material Adverse Effect.</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are within each Borrower’s organizational powers and have been duly authorized by all necessary organizational action. This Agreement has been duly executed and delivered by each Borrower and constitutes a legal, valid and binding obligation of such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xml:space="preserve">. The Transactions (a) do not require any consent or approval of, registration or filing with, or any other action by, any Governmental Authority, except (i) such as have been obtained or made and are in full force and effect and (ii) immaterial consents, approvals, registrations, filing or other actions, (b) will not violate any Requirement of Law or regulation or the charter, by-laws or other organizational documents applicable to the Company or any of its Restricted Subsidiaries, (c) will not violate or result in a default under any indenture, agreement or other instrument binding upon the Company or any of its Restricted Subsidiaries or its assets, or give rise to a right thereunder to require any payment to be made by the Company or any of its Restricted Subsidiaries (unless such payment is de-minimis and not restricted hereunder), and (d) will not result in the creation or imposition of any Lien on any asset of the Company or any of its Restricted Subsidiaries except where such violations or defaults referred to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individually, or in the aggregate, could reasonably be expected to result in a Material Adverse Effect.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Financial Condition; No Material Adverse Change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heretofore furnished to the Lenders consolidated balance sheet and statements of income, stockholders equity and cash flows for Company (i) as of and for the Fiscal Year ended December 31, 2023, reported on by Deloitte &amp; Touche LLP, independent public accountants, and (ii) as of and for the Fiscal Quarter ended September 30, 2024 internally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5" w:name="page206"/>
    <w:bookmarkEnd w:id="205"/>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prepared by the Company. Such financial statements present fairly, in all material respects, the financial position and results of operations and cash flows of the Company and its consolidated Restricted Subsidiaries as of such dates and for such periods in accordance with GAAP, subject to year-end audit adjustments and the absence of footnotes in the case of the statements referred to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w:t>
      </w:r>
    </w:p>
    <w:p>
      <w:pPr>
        <w:spacing w:after="0" w:line="152" w:lineRule="exact"/>
        <w:rPr>
          <w:sz w:val="20"/>
          <w:szCs w:val="20"/>
          <w:color w:val="auto"/>
        </w:rPr>
      </w:pPr>
    </w:p>
    <w:p>
      <w:pPr>
        <w:ind w:firstLine="656"/>
        <w:spacing w:after="0" w:line="236" w:lineRule="auto"/>
        <w:tabs>
          <w:tab w:leader="none" w:pos="129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2023, there has been no material adverse change in the business, assets, financial condition or results of operation of the Company and its Restricted Subsidiaries, taken as a whole.</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or where the failure to have such title or interest could not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reasonably be expected to result in a Material Adverse Effect, (i) each of the Loan Parties owns, or is licensed to use, all trademarks, tradenames, copyrights, patents and other intellectual property material or necessary to its business and (ii) to the knowledge of the Company, the use thereof by the Loan Parties does not infringe upon the rights of any other Person.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Schedule 3.05 sets forth (i) a correct and complete list of the name and relationship to the Company of each Subsidiary, (ii) the type of entity of the Company and each Subsidiary, and (iii) whether such Subsidiary is a Loan Party, Restricted Subsidiary, Unrestricted Subsidiary, Insurance Subsidiary and/or Excluded Subsidiary.</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Litigation and Environmental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suits or proceedings by or before any arbitrator or Governmental Authority pending against or, to the knowledge of the Company, threatened against or affecting the Company or any of its Restricted Subsidiaries (i) which could reasonably be expected, individually or in the aggregate, to result in a Material Adverse Effect (other than the Disclosed Matters) or (ii) that, as of the Effective Date, involve any of the Loan Documents.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Disclosed Matters and except with respect to any other matters that, individually or in the aggregate, could not reasonably be expected to result in a Material Adverse Effect, neither the Company nor any of its Restricted Subsidiaries (i) has failed to comply with any Environmental Law or to obtain, maintain or comply with any permit, license or other approval required under any Environmental Law, (ii) has become subject to any Environmental Liability, (iii) has received written notice of any claim with respect to any Environmental Liability or (iv) knows of any basis for any Environmental Liability.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Compliance with Laws and Agreements</w:t>
      </w:r>
      <w:r>
        <w:rPr>
          <w:rFonts w:ascii="Times New Roman" w:cs="Times New Roman" w:eastAsia="Times New Roman" w:hAnsi="Times New Roman"/>
          <w:sz w:val="22"/>
          <w:szCs w:val="22"/>
          <w:color w:val="auto"/>
        </w:rPr>
        <w:t>. Each of the Loan Parties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6" w:name="page207"/>
    <w:bookmarkEnd w:id="206"/>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Neither the Company nor any of its Restricted Subsidiaries is an “investment company” as defined in, or subject to regulation under, the Investment Company Act of 1940.</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Loan Parties has timely filed or caused to be filed all Tax returns and reports required to have been filed and has paid or caused to be paid all Taxes required to have been paid by it, except (a) Taxes not overdue for more than thirty (30) days or, if more than thirty (30) days overdue, that are being contested in good faith by appropriate proceedings and for which the Company or such other Loan Party, as applicable, has set aside on its books adequate reserves or</w:t>
      </w:r>
    </w:p>
    <w:p>
      <w:pPr>
        <w:spacing w:after="0" w:line="3" w:lineRule="exact"/>
        <w:rPr>
          <w:sz w:val="20"/>
          <w:szCs w:val="20"/>
          <w:color w:val="auto"/>
        </w:rPr>
      </w:pPr>
    </w:p>
    <w:p>
      <w:pPr>
        <w:ind w:right="20" w:firstLine="8"/>
        <w:spacing w:after="0" w:line="225" w:lineRule="auto"/>
        <w:tabs>
          <w:tab w:leader="none" w:pos="32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failure to do so could not reasonably be expected to result in a Material Adverse Effect. No tax liens have been filed and no claims are being asserted with respect to any such taxes.</w:t>
      </w:r>
    </w:p>
    <w:p>
      <w:pPr>
        <w:spacing w:after="0" w:line="1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ERISA / Pension Plans</w:t>
      </w:r>
      <w:r>
        <w:rPr>
          <w:rFonts w:ascii="Times New Roman" w:cs="Times New Roman" w:eastAsia="Times New Roman" w:hAnsi="Times New Roman"/>
          <w:sz w:val="21"/>
          <w:szCs w:val="21"/>
          <w:color w:val="auto"/>
        </w:rPr>
        <w:t>. No ERISA Event has occurred or is reasonably expected to occur that, when taken</w:t>
      </w:r>
    </w:p>
    <w:p>
      <w:pPr>
        <w:spacing w:after="0" w:line="204" w:lineRule="auto"/>
        <w:rPr>
          <w:sz w:val="20"/>
          <w:szCs w:val="20"/>
          <w:color w:val="auto"/>
        </w:rPr>
      </w:pPr>
      <w:r>
        <w:rPr>
          <w:rFonts w:ascii="Times New Roman" w:cs="Times New Roman" w:eastAsia="Times New Roman" w:hAnsi="Times New Roman"/>
          <w:sz w:val="22"/>
          <w:szCs w:val="22"/>
          <w:color w:val="auto"/>
        </w:rPr>
        <w:t>together with all other such ERISA Events for which liability is reasonably expected to occur, could reasonably be expected to</w:t>
      </w:r>
    </w:p>
    <w:p>
      <w:pPr>
        <w:spacing w:after="0" w:line="205" w:lineRule="auto"/>
        <w:rPr>
          <w:sz w:val="20"/>
          <w:szCs w:val="20"/>
          <w:color w:val="auto"/>
        </w:rPr>
      </w:pPr>
      <w:r>
        <w:rPr>
          <w:rFonts w:ascii="Times New Roman" w:cs="Times New Roman" w:eastAsia="Times New Roman" w:hAnsi="Times New Roman"/>
          <w:sz w:val="22"/>
          <w:szCs w:val="22"/>
          <w:color w:val="auto"/>
        </w:rPr>
        <w:t>result in a Material Adverse Effect. The present value of all accumulated benefit obligations under each Plan (based on the</w:t>
      </w:r>
    </w:p>
    <w:p>
      <w:pPr>
        <w:spacing w:after="0" w:line="215" w:lineRule="auto"/>
        <w:rPr>
          <w:sz w:val="20"/>
          <w:szCs w:val="20"/>
          <w:color w:val="auto"/>
        </w:rPr>
      </w:pPr>
      <w:r>
        <w:rPr>
          <w:rFonts w:ascii="Times New Roman" w:cs="Times New Roman" w:eastAsia="Times New Roman" w:hAnsi="Times New Roman"/>
          <w:sz w:val="21"/>
          <w:szCs w:val="21"/>
          <w:color w:val="auto"/>
        </w:rPr>
        <w:t>assumptions used for purposes of Statement of Financial Accounting Standards No. 87) did not, as of the date of the most recent</w:t>
      </w:r>
    </w:p>
    <w:p>
      <w:pPr>
        <w:spacing w:after="0" w:line="205" w:lineRule="auto"/>
        <w:rPr>
          <w:sz w:val="20"/>
          <w:szCs w:val="20"/>
          <w:color w:val="auto"/>
        </w:rPr>
      </w:pPr>
      <w:r>
        <w:rPr>
          <w:rFonts w:ascii="Times New Roman" w:cs="Times New Roman" w:eastAsia="Times New Roman" w:hAnsi="Times New Roman"/>
          <w:sz w:val="22"/>
          <w:szCs w:val="22"/>
          <w:color w:val="auto"/>
        </w:rPr>
        <w:t>financial statements reflecting such amounts, exceed the fair market value of the assets of such Plan in any material respect. No</w:t>
      </w:r>
    </w:p>
    <w:p>
      <w:pPr>
        <w:spacing w:after="0" w:line="215" w:lineRule="auto"/>
        <w:rPr>
          <w:sz w:val="20"/>
          <w:szCs w:val="20"/>
          <w:color w:val="auto"/>
        </w:rPr>
      </w:pPr>
      <w:r>
        <w:rPr>
          <w:rFonts w:ascii="Times New Roman" w:cs="Times New Roman" w:eastAsia="Times New Roman" w:hAnsi="Times New Roman"/>
          <w:sz w:val="21"/>
          <w:szCs w:val="21"/>
          <w:color w:val="auto"/>
        </w:rPr>
        <w:t>UK Borrower is or has at any time been (i) an employer (for the purposes of Sections 38 to 51 of the Pensions Act 2004 (UK)) of</w:t>
      </w:r>
    </w:p>
    <w:p>
      <w:pPr>
        <w:spacing w:after="0" w:line="214" w:lineRule="auto"/>
        <w:rPr>
          <w:sz w:val="20"/>
          <w:szCs w:val="20"/>
          <w:color w:val="auto"/>
        </w:rPr>
      </w:pPr>
      <w:r>
        <w:rPr>
          <w:rFonts w:ascii="Times New Roman" w:cs="Times New Roman" w:eastAsia="Times New Roman" w:hAnsi="Times New Roman"/>
          <w:sz w:val="21"/>
          <w:szCs w:val="21"/>
          <w:color w:val="auto"/>
        </w:rPr>
        <w:t>an occupational pension scheme which is not a money purchase scheme (both terms as defined in the Pensions Schemes Act 1993</w:t>
      </w:r>
    </w:p>
    <w:p>
      <w:pPr>
        <w:spacing w:after="0" w:line="205" w:lineRule="auto"/>
        <w:rPr>
          <w:sz w:val="20"/>
          <w:szCs w:val="20"/>
          <w:color w:val="auto"/>
        </w:rPr>
      </w:pPr>
      <w:r>
        <w:rPr>
          <w:rFonts w:ascii="Times New Roman" w:cs="Times New Roman" w:eastAsia="Times New Roman" w:hAnsi="Times New Roman"/>
          <w:sz w:val="22"/>
          <w:szCs w:val="22"/>
          <w:color w:val="auto"/>
        </w:rPr>
        <w:t>(UK)) and (ii) “connected” with or an “associate” of (as those terms are used in Sections 38 and 43 of the Pensions Act 2004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(UK)) such an employer.</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none of the written reports, financial statements, certificates or other information furnished by or on behalf of any Loan Party to the Administrative Agent or any Lender (other than information of a general economic or industry specific nature, projected financial information or other forward looking information) in connection with the negotiation of this Agreement or any other Loan Document executed in connection therewith (as modified or supplemented by other information so furnished), individually or when taken as a whole, contains any material misstatement of fact or omits to state any material fact necessary to make the statements therein, in the light of the circumstances under which they were made, not materially misleading; provided that, with respect to projected financial information, the Company represents only that such information was prepared in good faith based upon assumptions believed to be reasonable at the time made (it being understood that projections may vary from actual results and that such variances may be material).</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to the best knowledge of the Company, the information included in the Beneficial Ownership Certification provided on or prior to the Effective Date to any Lender in connection with this Agreement is true and correct in all respects.</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Effective Date, (a) the fair value of the aggregate of all assets of the Company and its Restricted Subsidiaries, taken as a whole, will exceed the aggregate amount of the debts and liabilities (subordinate, contingent or otherwise) of the Company and its Restricted Subsidiaries, taken as a whole; (b) the present fair saleable value of the property of the Company and its Restricted Subsidiaries, taken as a whole, will be greater than the amount that will be required to pay the probable liability of their debts and other liabilities, (subordinated, contingent or otherwise), as such debts and other liabilities become absolute and matured; (c) the Company and its Restricted Subsidiaries, taken as a whole, will be able to pay their debts and liabilities, subordinated, contingent or otherwise, as such debts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7" w:name="page208"/>
    <w:bookmarkEnd w:id="207"/>
    <w:p>
      <w:pPr>
        <w:jc w:val="both"/>
        <w:spacing w:after="0" w:line="217" w:lineRule="auto"/>
        <w:rPr>
          <w:sz w:val="20"/>
          <w:szCs w:val="20"/>
          <w:color w:val="auto"/>
        </w:rPr>
      </w:pPr>
      <w:r>
        <w:rPr>
          <w:rFonts w:ascii="Times New Roman" w:cs="Times New Roman" w:eastAsia="Times New Roman" w:hAnsi="Times New Roman"/>
          <w:sz w:val="21"/>
          <w:szCs w:val="21"/>
          <w:color w:val="auto"/>
        </w:rPr>
        <w:t>liabilities become absolute and matured; (d) the Company and its Restricted Subsidiaries, taken as a whole, will not have unreasonably small capital with which to conduct their businesses in which they are engaged as such businesses are now conducted on the Effective Date; (e) no Loan Party (other than the UK Borrowers) is “insolvent” within the meaning of Section 101(32) of the Bankruptcy Code and in respect of each UK Borrower, it: (i) is not unable to pay its debts as they fall due, has not suspended or threatened to suspend making payments on any of its debts or, by reason of actual or anticipated financial difficulties, commenced negotiations with one or more of its creditors (excluding any Holder of Obligations in its capacity as such) with a view to rescheduling its indebtedness and (ii) a moratorium has not been declared in respect of any indebtedness of such UK Borrower, with the ending of such moratorium not being a remedy to any Event of Default under this Agreement; and</w:t>
      </w:r>
    </w:p>
    <w:p>
      <w:pPr>
        <w:spacing w:after="0" w:line="5" w:lineRule="exact"/>
        <w:rPr>
          <w:sz w:val="20"/>
          <w:szCs w:val="20"/>
          <w:color w:val="auto"/>
        </w:rPr>
      </w:pPr>
    </w:p>
    <w:p>
      <w:pPr>
        <w:jc w:val="both"/>
        <w:ind w:firstLine="8"/>
        <w:spacing w:after="0" w:line="221" w:lineRule="auto"/>
        <w:tabs>
          <w:tab w:leader="none" w:pos="277"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Loan Party has incurred (by way of assumption or otherwise) any obligations or liabilities (contingent or otherwise) under any Loan Documents, or made any conveyance in connection therewith, with actual intent to hinder, delay or defraud either present or future creditors of such Loan Party or any of its Restricted Subsidiaries.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spacing w:after="0" w:line="154"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Outbound Investment Rules</w:t>
      </w:r>
      <w:r>
        <w:rPr>
          <w:rFonts w:ascii="Times New Roman" w:cs="Times New Roman" w:eastAsia="Times New Roman" w:hAnsi="Times New Roman"/>
          <w:sz w:val="22"/>
          <w:szCs w:val="22"/>
          <w:color w:val="auto"/>
        </w:rPr>
        <w:t>. No Loan Party nor any of its Subsidiaries is a ‘covered foreign person’ as that term is used in the Outbound Investment Rules. No Loan Party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3.14 </w:t>
      </w:r>
      <w:r>
        <w:rPr>
          <w:rFonts w:ascii="Times New Roman" w:cs="Times New Roman" w:eastAsia="Times New Roman" w:hAnsi="Times New Roman"/>
          <w:sz w:val="21"/>
          <w:szCs w:val="21"/>
          <w:u w:val="single" w:color="auto"/>
          <w:color w:val="auto"/>
        </w:rPr>
        <w:t>Labor Disputes</w:t>
      </w:r>
      <w:r>
        <w:rPr>
          <w:rFonts w:ascii="Times New Roman" w:cs="Times New Roman" w:eastAsia="Times New Roman" w:hAnsi="Times New Roman"/>
          <w:sz w:val="21"/>
          <w:szCs w:val="21"/>
          <w:color w:val="auto"/>
        </w:rPr>
        <w:t>. As of the Effective Date, there are no strikes, lockouts or slowdowns against the Company or any Restricted Subsidiary pending or, to the knowledge of the Company, threatened in writing, in each case, (i) which could reasonably be expected, individually or in the aggregate, to result in a Material Adverse Effect or (ii) are related to labor disputes.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u w:val="single" w:color="auto"/>
          <w:color w:val="auto"/>
        </w:rPr>
        <w:t>No Default</w:t>
      </w:r>
      <w:r>
        <w:rPr>
          <w:rFonts w:ascii="Times New Roman" w:cs="Times New Roman" w:eastAsia="Times New Roman" w:hAnsi="Times New Roman"/>
          <w:sz w:val="21"/>
          <w:szCs w:val="21"/>
          <w:color w:val="auto"/>
        </w:rPr>
        <w:t>. No Event of Default has occurred and is continuing.</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Federal Reserve Regulations</w:t>
      </w:r>
      <w:r>
        <w:rPr>
          <w:rFonts w:ascii="Times New Roman" w:cs="Times New Roman" w:eastAsia="Times New Roman" w:hAnsi="Times New Roman"/>
          <w:sz w:val="22"/>
          <w:szCs w:val="22"/>
          <w:color w:val="auto"/>
        </w:rPr>
        <w:t>. No Loan Party is engaged, and no Loan Party will engage, principally or as one of its important or primary activities, in the business of purchasing or carrying Margin Stock, or extending credit for the purpose of purchasing or carrying Margin Stock, and no part of the proceeds of any Borrowing or Letter of Credit hereunder will be used to buy or carry any Margin Stock, or to reduce or retire any indebtedness which was originally incurred to purchase or carry any such Margin Stock, in violation of or in a manner inconsistent with Regulation T, U or X of the Board of Governors of the Federal Reserve. Following the application of the proceeds of each Borrowing or drawing under each Letter of Credit, not more than 25% of the value of the assets (either of any Loan Party only or of the Loan Parties and their Restricted Subsidiaries on a consolidated basis) will be Margin Stock.</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xml:space="preserve">. As of the Effective Date, all Subordinated Debt Documents are described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3.17</w:t>
      </w:r>
      <w:r>
        <w:rPr>
          <w:rFonts w:ascii="Times New Roman" w:cs="Times New Roman" w:eastAsia="Times New Roman" w:hAnsi="Times New Roman"/>
          <w:sz w:val="22"/>
          <w:szCs w:val="22"/>
          <w:color w:val="auto"/>
        </w:rPr>
        <w:t xml:space="preserve"> hereto, and there are no other documents, agreements or instruments evidencing or relating to the Subordinated Debt as of the Effective Date other than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8" w:name="page209"/>
    <w:bookmarkEnd w:id="20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as described on </w:t>
      </w:r>
      <w:r>
        <w:rPr>
          <w:rFonts w:ascii="Times New Roman" w:cs="Times New Roman" w:eastAsia="Times New Roman" w:hAnsi="Times New Roman"/>
          <w:sz w:val="22"/>
          <w:szCs w:val="22"/>
          <w:u w:val="single" w:color="auto"/>
          <w:color w:val="auto"/>
        </w:rPr>
        <w:t>Schedule 3.17</w:t>
      </w:r>
      <w:r>
        <w:rPr>
          <w:rFonts w:ascii="Times New Roman" w:cs="Times New Roman" w:eastAsia="Times New Roman" w:hAnsi="Times New Roman"/>
          <w:sz w:val="22"/>
          <w:szCs w:val="22"/>
          <w:color w:val="auto"/>
        </w:rPr>
        <w:t xml:space="preserve"> hereto. Complete and accurate copies of all documents, agreements or instruments described on </w:t>
      </w:r>
      <w:r>
        <w:rPr>
          <w:rFonts w:ascii="Times New Roman" w:cs="Times New Roman" w:eastAsia="Times New Roman" w:hAnsi="Times New Roman"/>
          <w:sz w:val="22"/>
          <w:szCs w:val="22"/>
          <w:u w:val="single" w:color="auto"/>
          <w:color w:val="auto"/>
        </w:rPr>
        <w:t>Schedule 3.17</w:t>
      </w:r>
      <w:r>
        <w:rPr>
          <w:rFonts w:ascii="Times New Roman" w:cs="Times New Roman" w:eastAsia="Times New Roman" w:hAnsi="Times New Roman"/>
          <w:sz w:val="22"/>
          <w:szCs w:val="22"/>
          <w:color w:val="auto"/>
        </w:rPr>
        <w:t xml:space="preserve"> have been delivered to the Administrative Agent on or prior to the Effective Date.</w:t>
      </w:r>
    </w:p>
    <w:p>
      <w:pPr>
        <w:spacing w:after="0" w:line="150"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xml:space="preserve">. The Company has implemented and maintains in effect policies and procedures designed to ensure compliance by the Company, its Subsidiaries and their respective directors, officers, employees and agents with Anti-Corruption Laws and applicable Sanctions, and the Company, its Subsidiaries and their respective officers and employees and, to the knowledge of the Company, their directors and agents, are in compliance with Anti-Corruption Laws and applicable Sanctions in all material respects. None of (a) the Company, its Subsidiaries or any of their respective directors, officers or employees, or (b) to the knowledge of the Company, any agent of the Company or its Subsidiaries that will act in any capacity in connection with or benefit from the credit facility established hereby, is a Sanctioned Person. No Borrowing or Letter of Credit, use of proceeds or other transaction contemplated by this Agreement will violate Anti-Corruption Laws or applicable Sanctions in any material respect. The foregoing representations in this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xml:space="preserve"> will not apply to any party hereto to which Council Regulation (EC) 2271/96 (the “</w:t>
      </w:r>
      <w:r>
        <w:rPr>
          <w:rFonts w:ascii="Times New Roman" w:cs="Times New Roman" w:eastAsia="Times New Roman" w:hAnsi="Times New Roman"/>
          <w:sz w:val="22"/>
          <w:szCs w:val="22"/>
          <w:u w:val="single" w:color="auto"/>
          <w:color w:val="auto"/>
        </w:rPr>
        <w:t>Blocking Regulation</w:t>
      </w:r>
      <w:r>
        <w:rPr>
          <w:rFonts w:ascii="Times New Roman" w:cs="Times New Roman" w:eastAsia="Times New Roman" w:hAnsi="Times New Roman"/>
          <w:sz w:val="22"/>
          <w:szCs w:val="22"/>
          <w:color w:val="auto"/>
        </w:rPr>
        <w:t>”) applies, if and to the extent that such representations are or would be unenforceable by or in respect of that party pursuant to, or would otherwise result in a breach and/or violation of, (i) any provision of the Blocking Regulation (or any law or regulation implementing the Blocking Regulation in any member state of the European Union) (the “</w:t>
      </w:r>
      <w:r>
        <w:rPr>
          <w:rFonts w:ascii="Times New Roman" w:cs="Times New Roman" w:eastAsia="Times New Roman" w:hAnsi="Times New Roman"/>
          <w:sz w:val="22"/>
          <w:szCs w:val="22"/>
          <w:u w:val="single" w:color="auto"/>
          <w:color w:val="auto"/>
        </w:rPr>
        <w:t>Blocking Law</w:t>
      </w:r>
      <w:r>
        <w:rPr>
          <w:rFonts w:ascii="Times New Roman" w:cs="Times New Roman" w:eastAsia="Times New Roman" w:hAnsi="Times New Roman"/>
          <w:sz w:val="22"/>
          <w:szCs w:val="22"/>
          <w:color w:val="auto"/>
        </w:rPr>
        <w:t>”), (ii) if the UK Protection of Trading Interests Legislation (“</w:t>
      </w:r>
      <w:r>
        <w:rPr>
          <w:rFonts w:ascii="Times New Roman" w:cs="Times New Roman" w:eastAsia="Times New Roman" w:hAnsi="Times New Roman"/>
          <w:sz w:val="22"/>
          <w:szCs w:val="22"/>
          <w:u w:val="single" w:color="auto"/>
          <w:color w:val="auto"/>
        </w:rPr>
        <w:t>UKPTIL</w:t>
      </w:r>
      <w:r>
        <w:rPr>
          <w:rFonts w:ascii="Times New Roman" w:cs="Times New Roman" w:eastAsia="Times New Roman" w:hAnsi="Times New Roman"/>
          <w:sz w:val="22"/>
          <w:szCs w:val="22"/>
          <w:color w:val="auto"/>
        </w:rPr>
        <w:t>”) applies, the Blocking Law or the UKPTIL, as applicable, or (iii) section 7 of the German Foreign Trade Ordinance (</w:t>
      </w:r>
      <w:r>
        <w:rPr>
          <w:rFonts w:ascii="Times New Roman" w:cs="Times New Roman" w:eastAsia="Times New Roman" w:hAnsi="Times New Roman"/>
          <w:sz w:val="22"/>
          <w:szCs w:val="22"/>
          <w:i w:val="1"/>
          <w:iCs w:val="1"/>
          <w:color w:val="auto"/>
        </w:rPr>
        <w:t>Verordnung zur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Durchführung des Außenwirtschaftsgesetzes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Außenwirtschaftsverordnung – AWV</w:t>
      </w:r>
      <w:r>
        <w:rPr>
          <w:rFonts w:ascii="Times New Roman" w:cs="Times New Roman" w:eastAsia="Times New Roman" w:hAnsi="Times New Roman"/>
          <w:sz w:val="22"/>
          <w:szCs w:val="22"/>
          <w:color w:val="auto"/>
        </w:rPr>
        <w:t>)) in connection with sections 4 and 19 para (3)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1 (a) of the German Foreign Trade Act, or any other comparable anti-boycott law, regulation or statute that is in force from time to time in Germany.</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3.19</w:t>
      </w:r>
      <w:r>
        <w:rPr>
          <w:sz w:val="20"/>
          <w:szCs w:val="20"/>
          <w:color w:val="auto"/>
        </w:rPr>
        <w:tab/>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No Loan Party is an Affected Financial Institution.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3.20 </w:t>
      </w:r>
      <w:r>
        <w:rPr>
          <w:rFonts w:ascii="Times New Roman" w:cs="Times New Roman" w:eastAsia="Times New Roman" w:hAnsi="Times New Roman"/>
          <w:sz w:val="22"/>
          <w:szCs w:val="22"/>
          <w:u w:val="single" w:color="auto"/>
          <w:color w:val="auto"/>
        </w:rPr>
        <w:t>Representations as to Foreign Subsidiary Borrowers</w:t>
      </w:r>
      <w:r>
        <w:rPr>
          <w:rFonts w:ascii="Times New Roman" w:cs="Times New Roman" w:eastAsia="Times New Roman" w:hAnsi="Times New Roman"/>
          <w:sz w:val="22"/>
          <w:szCs w:val="22"/>
          <w:color w:val="auto"/>
        </w:rPr>
        <w:t>. Each of the Company and each Foreign Subsidiary Borrower represents and warrants to the Administrative Agent and the Lenders that:</w:t>
      </w:r>
    </w:p>
    <w:p>
      <w:pPr>
        <w:spacing w:after="0" w:line="150" w:lineRule="exact"/>
        <w:rPr>
          <w:sz w:val="20"/>
          <w:szCs w:val="20"/>
          <w:color w:val="auto"/>
        </w:rPr>
      </w:pPr>
    </w:p>
    <w:p>
      <w:pPr>
        <w:jc w:val="both"/>
        <w:ind w:firstLine="656"/>
        <w:spacing w:after="0" w:line="211" w:lineRule="auto"/>
        <w:tabs>
          <w:tab w:leader="none" w:pos="129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Foreign Subsidiary Borrower, other than a UK Borrower, is subject to civil, commercial and common laws and each UK Borrower is subject to statutory and common laws, in each case, with respect to its obligations under this Agreement and the other Loan Documents to which it is a party (collectively as to such Foreign Subsidiary Borrower, the “</w:t>
      </w:r>
      <w:r>
        <w:rPr>
          <w:rFonts w:ascii="Times New Roman" w:cs="Times New Roman" w:eastAsia="Times New Roman" w:hAnsi="Times New Roman"/>
          <w:sz w:val="22"/>
          <w:szCs w:val="22"/>
          <w:u w:val="single" w:color="auto"/>
          <w:color w:val="auto"/>
        </w:rPr>
        <w:t>Applicable Foreign Subsidiary Borrower Documents</w:t>
      </w:r>
      <w:r>
        <w:rPr>
          <w:rFonts w:ascii="Times New Roman" w:cs="Times New Roman" w:eastAsia="Times New Roman" w:hAnsi="Times New Roman"/>
          <w:sz w:val="22"/>
          <w:szCs w:val="22"/>
          <w:color w:val="auto"/>
        </w:rPr>
        <w:t>”), and the execution, delivery and performance by such Foreign Subsidiary Borrower of the Applicable Foreign Subsidiary Borrower Documents constitute and will constitute private and commercial acts and not public or governmental acts. Neither such Foreign Subsidiary Borrower nor any of its material property has any immunity from jurisdiction of any court or from any legal process (whether through service or notice, attachment prior to judgment, attachment in aid of execution, execution or otherwise) under the laws of the jurisdiction in which such Foreign Subsidiary Borrower is organized and existing in respect of its obligations under the Applicable Foreign Subsidiary Borrower Documents.</w:t>
      </w:r>
    </w:p>
    <w:p>
      <w:pPr>
        <w:spacing w:after="0" w:line="151"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Foreign Subsidiary Borrower Documents are in proper legal form under the Laws of the jurisdiction in which such Foreign Subsidiary Borrower is organized and existing for the enforcement thereof against such Foreign Subsidiary Borrower under the Laws of such jurisdiction (or such other law as shall be specified in such documents), and to ensure the legality, validity, enforceability (except as enforceability may be limited by bankruptcy, insolvency or similar laws affecting the enforcement of creditors’ rights generally), priority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09" w:name="page210"/>
    <w:bookmarkEnd w:id="209"/>
    <w:p>
      <w:pPr>
        <w:jc w:val="both"/>
        <w:spacing w:after="0" w:line="212" w:lineRule="auto"/>
        <w:rPr>
          <w:sz w:val="20"/>
          <w:szCs w:val="20"/>
          <w:color w:val="auto"/>
        </w:rPr>
      </w:pPr>
      <w:r>
        <w:rPr>
          <w:rFonts w:ascii="Times New Roman" w:cs="Times New Roman" w:eastAsia="Times New Roman" w:hAnsi="Times New Roman"/>
          <w:sz w:val="22"/>
          <w:szCs w:val="22"/>
          <w:color w:val="auto"/>
        </w:rPr>
        <w:t>admissibility in evidence of the Applicable Foreign Subsidiary Borrower Documents. It is not necessary to ensure the legality, validity, enforceability, priority or admissibility in evidence of the Applicable Foreign Subsidiary Borrower Documents that the Applicable Foreign Subsidiary Borrower Documents be filed, registered or recorded with, or executed or notarized before, any court or other authority in the jurisdiction in which such Foreign Subsidiary Borrower is organized and existing or that any registration charge or stamp or similar tax be paid on or in respect of the Applicable Foreign Subsidiary Borrower Documents or any other document, except for (i) any such filing, registration, recording, execution or notarization as has been made or is not required to be made until the Applicable Foreign Subsidiary Borrower Document or any other document is sought to be enforced and (ii) any charge or tax as has been timely paid.</w:t>
      </w:r>
    </w:p>
    <w:p>
      <w:pPr>
        <w:spacing w:after="0" w:line="156" w:lineRule="exact"/>
        <w:rPr>
          <w:sz w:val="20"/>
          <w:szCs w:val="20"/>
          <w:color w:val="auto"/>
        </w:rPr>
      </w:pPr>
    </w:p>
    <w:p>
      <w:pPr>
        <w:jc w:val="both"/>
        <w:ind w:firstLine="656"/>
        <w:spacing w:after="0" w:line="215" w:lineRule="auto"/>
        <w:tabs>
          <w:tab w:leader="none" w:pos="129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tax (other than Excluded Taxes), levy, impost, duty, fee, assessment or other governmental charge that must be paid or any deduction or withholding for any Taxes imposed by any Governmental Authority in or of the jurisdiction in which such Foreign Subsidiary Borrower is organized and existing either (i) on or by virtue of the execution or delivery of the Applicable Foreign Subsidiary Borrower Documents or (ii) on any payment to be made by such Foreign Subsidiary Borrower to a Lender pursuant to the Applicable Foreign Subsidiary Borrower Documents, except for those that have been paid by a Loan Party or any of their respective Subsidiaries.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Applicable Foreign Subsidiary Borrower Documents executed by such Foreign Subsidiary Borrower are,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3.21 </w:t>
      </w:r>
      <w:r>
        <w:rPr>
          <w:rFonts w:ascii="Times New Roman" w:cs="Times New Roman" w:eastAsia="Times New Roman" w:hAnsi="Times New Roman"/>
          <w:sz w:val="22"/>
          <w:szCs w:val="22"/>
          <w:u w:val="single" w:color="auto"/>
          <w:color w:val="auto"/>
        </w:rPr>
        <w:t>Plan Assets; Prohibited Transactions</w:t>
      </w:r>
      <w:r>
        <w:rPr>
          <w:rFonts w:ascii="Times New Roman" w:cs="Times New Roman" w:eastAsia="Times New Roman" w:hAnsi="Times New Roman"/>
          <w:sz w:val="22"/>
          <w:szCs w:val="22"/>
          <w:color w:val="auto"/>
        </w:rPr>
        <w:t>. None of the Loan Parties or any of their Restricted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3.22 </w:t>
      </w:r>
      <w:r>
        <w:rPr>
          <w:rFonts w:ascii="Times New Roman" w:cs="Times New Roman" w:eastAsia="Times New Roman" w:hAnsi="Times New Roman"/>
          <w:sz w:val="22"/>
          <w:szCs w:val="22"/>
          <w:u w:val="single" w:color="auto"/>
          <w:color w:val="auto"/>
        </w:rPr>
        <w:t>Regulatory Solvency and Capital Resources</w:t>
      </w:r>
      <w:r>
        <w:rPr>
          <w:rFonts w:ascii="Times New Roman" w:cs="Times New Roman" w:eastAsia="Times New Roman" w:hAnsi="Times New Roman"/>
          <w:sz w:val="22"/>
          <w:szCs w:val="22"/>
          <w:color w:val="auto"/>
        </w:rPr>
        <w:t>. Each Insurance Subsidiary complies in all material respects with all binding applicable regulatory and solvency capital requirements applicable to it and is not aware of any fact or circumstance which is reasonably likely to cause such Insurance Subsidiary or its respective Restricted Subsidiaries to (a) become subject to bankruptcy, insolvency, reorganization, moratorium or other similar circumstances affecting creditors’ rights or (b) fail to so comply.</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3.23 </w:t>
      </w:r>
      <w:r>
        <w:rPr>
          <w:rFonts w:ascii="Times New Roman" w:cs="Times New Roman" w:eastAsia="Times New Roman" w:hAnsi="Times New Roman"/>
          <w:sz w:val="22"/>
          <w:szCs w:val="22"/>
          <w:u w:val="single" w:color="auto"/>
          <w:color w:val="auto"/>
        </w:rPr>
        <w:t>Insurance Licenses</w:t>
      </w:r>
      <w:r>
        <w:rPr>
          <w:rFonts w:ascii="Times New Roman" w:cs="Times New Roman" w:eastAsia="Times New Roman" w:hAnsi="Times New Roman"/>
          <w:sz w:val="22"/>
          <w:szCs w:val="22"/>
          <w:color w:val="auto"/>
        </w:rPr>
        <w:t>. (a) No Insurance License held by any Insurance Subsidiary is the subject of a proceeding for suspension, revocation or limitation or any similar proceedings, and (b) no such suspension, revocation or limitation is threatened in writing by any relevant Insurance Regulatory Authority, that, in each instance under (a) and (b) above, could individually or in the aggregate, reasonably be expected to have a Material Adverse Effect. No Insurance Subsidiary transacts any insurance or reinsurance business, directly or indirectly, in any jurisdiction without a license where such business requires any license, permit or other authorization of an Insurance Regulatory Authority of such jurisdiction except to the extent that the failure to have any such license, permit or other authorization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10" w:name="page211"/>
    <w:bookmarkEnd w:id="210"/>
    <w:p>
      <w:pPr>
        <w:ind w:left="5000"/>
        <w:spacing w:after="0"/>
        <w:rPr>
          <w:sz w:val="20"/>
          <w:szCs w:val="20"/>
          <w:color w:val="auto"/>
        </w:rPr>
      </w:pPr>
      <w:r>
        <w:rPr>
          <w:rFonts w:ascii="Times New Roman" w:cs="Times New Roman" w:eastAsia="Times New Roman" w:hAnsi="Times New Roman"/>
          <w:sz w:val="22"/>
          <w:szCs w:val="22"/>
          <w:color w:val="auto"/>
        </w:rPr>
        <w:t>ARTICLE IV.</w:t>
      </w:r>
    </w:p>
    <w:p>
      <w:pPr>
        <w:ind w:left="4960"/>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The obligations of the Lenders to make Loans and of the Issuing Bank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56"/>
        <w:spacing w:after="0" w:line="212" w:lineRule="auto"/>
        <w:tabs>
          <w:tab w:leader="none" w:pos="129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Agreement and Loan Documents</w:t>
      </w:r>
      <w:r>
        <w:rPr>
          <w:rFonts w:ascii="Times New Roman" w:cs="Times New Roman" w:eastAsia="Times New Roman" w:hAnsi="Times New Roman"/>
          <w:sz w:val="22"/>
          <w:szCs w:val="22"/>
          <w:color w:val="auto"/>
        </w:rPr>
        <w:t xml:space="preserve">. The Administrative Agent (or its counsel) shall have received (i) from each party hereto either (A) a counterpart of this Agreement signed on behalf of such party or (B) written evidence reasonably satisfactory to the Administrative Agent (which, subject to </w:t>
      </w:r>
      <w:r>
        <w:rPr>
          <w:rFonts w:ascii="Times New Roman" w:cs="Times New Roman" w:eastAsia="Times New Roman" w:hAnsi="Times New Roman"/>
          <w:sz w:val="22"/>
          <w:szCs w:val="22"/>
          <w:u w:val="single" w:color="auto"/>
          <w:color w:val="auto"/>
        </w:rPr>
        <w:t>Section 9.06(b)</w:t>
      </w:r>
      <w:r>
        <w:rPr>
          <w:rFonts w:ascii="Times New Roman" w:cs="Times New Roman" w:eastAsia="Times New Roman" w:hAnsi="Times New Roman"/>
          <w:sz w:val="22"/>
          <w:szCs w:val="22"/>
          <w:color w:val="auto"/>
        </w:rPr>
        <w:t>, may include any Electronic Signatures transmitted by telecopy, emailed pdf. or any other electronic means that reproduces an image of an actual executed signature page) that such party has signed a counterpart of this Agreement and (ii) duly executed copies of the Loan Documents and such other legal opinions, certificates, documents, instruments and agreements and other conditions and requirements as the Administrative Agent shall reasonably request in connection with the transactions contemplated by this Agreement and the Loan Documents, all in form and substance satisfactory to the Administrative Agent and its counsel.</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Documents</w:t>
      </w:r>
      <w:r>
        <w:rPr>
          <w:rFonts w:ascii="Times New Roman" w:cs="Times New Roman" w:eastAsia="Times New Roman" w:hAnsi="Times New Roman"/>
          <w:sz w:val="22"/>
          <w:szCs w:val="22"/>
          <w:color w:val="auto"/>
        </w:rPr>
        <w:t>. The Administrative Agent shall have received a certificate from each Loan Party signed by an authorized officer or director, attaching, as applicable, (i) good standing certificates (or equivalent) recently certified by the applicable state authority in the relevant jurisdiction of Organization of such Loan Party, (ii) copies of the certificate or articles of incorporation or formation recently certified by the applicable state authority in the relevant jurisdiction of Organization of such Loan Party, (iii) the by-laws, operating agreement or limited liability company agreement (or other equivalent organizational documents), as applicable, of such Loan Party, (iv) the resolutions of such Loan Party referred to in such certificate, and (v) a list of the officers and directors (or managers) of such Loan Party authorized to sign agreements together with their specimen signatures.</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The Administrative Agent shall have received a certificate, signed by a Financial Officer or other executive officer of the Company, on the initial Borrowing date (i) stating that no Default or Event of Default has occurred and is continuing, and (ii) stating that the representations and warranties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are true and correct as of such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 of Counsel</w:t>
      </w:r>
      <w:r>
        <w:rPr>
          <w:rFonts w:ascii="Times New Roman" w:cs="Times New Roman" w:eastAsia="Times New Roman" w:hAnsi="Times New Roman"/>
          <w:sz w:val="22"/>
          <w:szCs w:val="22"/>
          <w:color w:val="auto"/>
        </w:rPr>
        <w:t xml:space="preserve">. The Administrative Agent shall have received customary legal opinions of (i) with respect to each US Loan Party, DLA Piper LLP (US), special counsel to the Loan Parties, and (ii) with respect to each Foreign Subsidiary Borrower, (A) DLA Piper LLP (US), New York counsel to such New Foreign Subsidiary Borrower and (B) Mayer Brown LLP, English counsel to the Administrative Agent, in each case under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addressed to the Administrative Agent and each of the Lenders and in form and substance reasonably satisfactory to the Administrative Agent.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The Lenders and the Administrative Agent shall have received, substantially concurrently with the effectiveness hereof, all fees required to be paid, and all expenses for which invoices have been presented (including the reasonable fees and expenses of legal counsel to the Administrative Agent), on or before the Effective Date. All such amounts will be paid with proceeds of Loans made on the Effective Date and will be reflected in the funding instructions given by the Company to the Administrative Agent on or before the Effective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The Administrative Agent shall have received satisfactory pay-off and release letters in respect of the Existing Credit Agreement, which confirm that all Liens securing the Existing Credit Agreement and all Guarantees in respect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211" w:name="page212"/>
    <w:bookmarkEnd w:id="211"/>
    <w:p>
      <w:pPr>
        <w:spacing w:after="0" w:line="236" w:lineRule="auto"/>
        <w:rPr>
          <w:sz w:val="20"/>
          <w:szCs w:val="20"/>
          <w:color w:val="auto"/>
        </w:rPr>
      </w:pPr>
      <w:r>
        <w:rPr>
          <w:rFonts w:ascii="Times New Roman" w:cs="Times New Roman" w:eastAsia="Times New Roman" w:hAnsi="Times New Roman"/>
          <w:sz w:val="22"/>
          <w:szCs w:val="22"/>
          <w:color w:val="auto"/>
        </w:rPr>
        <w:t xml:space="preserve">thereof will be terminated and released concurrently with such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Existing Letters of Credit shall constitute Letters of Credit issued hereunder as of the Effective Date as contemplated by this Agreement.</w:t>
      </w:r>
    </w:p>
    <w:p>
      <w:pPr>
        <w:spacing w:after="0" w:line="150" w:lineRule="exact"/>
        <w:rPr>
          <w:sz w:val="20"/>
          <w:szCs w:val="20"/>
          <w:color w:val="auto"/>
        </w:rPr>
      </w:pPr>
    </w:p>
    <w:p>
      <w:pPr>
        <w:ind w:firstLine="656"/>
        <w:spacing w:after="0" w:line="236" w:lineRule="auto"/>
        <w:tabs>
          <w:tab w:leader="none" w:pos="129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Administrative Agent shall have received evidence of insurance coverage in form, scope, and substance reasonably satisfactory to the Administrative Agent and otherwise in compliance with the terms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USA PATRIOT Act, Etc</w:t>
      </w:r>
      <w:r>
        <w:rPr>
          <w:rFonts w:ascii="Times New Roman" w:cs="Times New Roman" w:eastAsia="Times New Roman" w:hAnsi="Times New Roman"/>
          <w:sz w:val="21"/>
          <w:szCs w:val="21"/>
          <w:color w:val="auto"/>
        </w:rPr>
        <w:t xml:space="preserve">. (i) The Administrative Agent shall have received, (x) at least five (5) days prior to the Effective Date, all documentation and other information regarding the Company requested in connection with applicable “know your customer” and anti-money laundering rules and regulations, including the USA PATRIOT Act, to the extent requested in writing of the Company at least ten (10) days prior to the Effective Date, and (y) a properly completed and signed IRS Form W-8 or W-9, as applicable, for each Loan Party, and (ii) to the extent the Company qualifies as a “legal entity customer” under the Beneficial Ownership Regulation, at least five (5) days prior to the Effective Date, any Lender that has requested, in a written notice to the Company at least the (10) days prior to the Effective Date, a Beneficial Ownership Certification in relation to the Company shall have received such Beneficial Ownership Certification (provided that, upon the execution and delivery by such Lender of its signature page to this Agreement, the condition set forth in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shall be deemed to be satisfied).</w:t>
      </w:r>
    </w:p>
    <w:p>
      <w:pPr>
        <w:spacing w:after="0" w:line="149" w:lineRule="exact"/>
        <w:rPr>
          <w:rFonts w:ascii="Times New Roman" w:cs="Times New Roman" w:eastAsia="Times New Roman" w:hAnsi="Times New Roman"/>
          <w:sz w:val="21"/>
          <w:szCs w:val="21"/>
          <w:color w:val="auto"/>
        </w:rPr>
      </w:pPr>
    </w:p>
    <w:p>
      <w:pPr>
        <w:ind w:firstLine="656"/>
        <w:spacing w:after="0" w:line="236" w:lineRule="auto"/>
        <w:tabs>
          <w:tab w:leader="none" w:pos="128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The Administrative Agent shall have received such other documents, and evidence of the satisfaction of such other conditions as requested by the Administrative Agent.</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Administrative Agent shall notify the Company and the Lenders of the Effective Date, and such notice shall be conclusive and binding;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Effective Date shall be deemed to have occurred upon the initial funding of Loans by the Lenders.</w:t>
      </w:r>
    </w:p>
    <w:p>
      <w:pPr>
        <w:spacing w:after="0" w:line="15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xml:space="preserve">. The obligation of each Lender to make a Loan on the occasion of any Borrowing, and of the Issuing Bank to issue, amend, renew or extend any Letter of Credit, is subject to the satisfaction of the following conditions (subject to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xml:space="preserve"> in the case of a Limited Condition Transaction Incremental Loan):</w:t>
      </w:r>
    </w:p>
    <w:p>
      <w:pPr>
        <w:spacing w:after="0" w:line="152" w:lineRule="exact"/>
        <w:rPr>
          <w:sz w:val="20"/>
          <w:szCs w:val="20"/>
          <w:color w:val="auto"/>
        </w:rPr>
      </w:pPr>
    </w:p>
    <w:p>
      <w:pPr>
        <w:jc w:val="both"/>
        <w:ind w:firstLine="656"/>
        <w:spacing w:after="0" w:line="215" w:lineRule="auto"/>
        <w:tabs>
          <w:tab w:leader="none" w:pos="129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Loan Parties set forth in the Loan Documents shall be true and correct in all material respects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9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of and immediately after giving effect to such Borrowing or the issuance, amendment, renewal or extension of such Letter of Credit, as applicable, no Default shall have occurred and be continuing (subject, in the case of any Incremental Term Loan being used to finance a Limited Condition Transaction,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Each Borrowing and each issuance, amendment, renewal or extension of a Letter of Credit shall be deemed to constitute a representation and warranty by the applicable Borrower on the date thereof as to the matters specified in paragraphs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12" w:name="page213"/>
    <w:bookmarkEnd w:id="212"/>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to the contrary, in the case of any Limited Condition Transaction Incremental Loan, the only conditions precedent to the funding of such Limited Condition Transaction Incremental Loan shall be the conditions precedent set forth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w:t>
      </w:r>
    </w:p>
    <w:p>
      <w:pPr>
        <w:ind w:left="4220"/>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Until all of the Obligations shall have been Paid in Full, the Company covenants and agrees with the Lenders that:</w:t>
      </w:r>
    </w:p>
    <w:p>
      <w:pPr>
        <w:spacing w:after="0" w:line="180"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2"/>
          <w:szCs w:val="22"/>
          <w:u w:val="single" w:color="auto"/>
          <w:color w:val="auto"/>
        </w:rPr>
        <w:t>Financial Statements; Ratings Change and Other Information</w:t>
      </w:r>
      <w:r>
        <w:rPr>
          <w:rFonts w:ascii="Times New Roman" w:cs="Times New Roman" w:eastAsia="Times New Roman" w:hAnsi="Times New Roman"/>
          <w:sz w:val="22"/>
          <w:szCs w:val="22"/>
          <w:color w:val="auto"/>
        </w:rPr>
        <w:t>. The Company will furnish to the</w:t>
      </w:r>
    </w:p>
    <w:p>
      <w:pPr>
        <w:spacing w:after="0"/>
        <w:rPr>
          <w:sz w:val="20"/>
          <w:szCs w:val="20"/>
          <w:color w:val="auto"/>
        </w:rPr>
      </w:pPr>
      <w:r>
        <w:rPr>
          <w:rFonts w:ascii="Times New Roman" w:cs="Times New Roman" w:eastAsia="Times New Roman" w:hAnsi="Times New Roman"/>
          <w:sz w:val="22"/>
          <w:szCs w:val="22"/>
          <w:color w:val="auto"/>
        </w:rPr>
        <w:t>Administrative Agent and each Lender:</w:t>
      </w:r>
    </w:p>
    <w:p>
      <w:pPr>
        <w:spacing w:after="0" w:line="155" w:lineRule="exact"/>
        <w:rPr>
          <w:sz w:val="20"/>
          <w:szCs w:val="20"/>
          <w:color w:val="auto"/>
        </w:rPr>
      </w:pPr>
    </w:p>
    <w:p>
      <w:pPr>
        <w:jc w:val="both"/>
        <w:ind w:firstLine="656"/>
        <w:spacing w:after="0" w:line="211" w:lineRule="auto"/>
        <w:tabs>
          <w:tab w:leader="none" w:pos="129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 later than one hundred twenty (120) days after the end of each Fiscal Year (commencing with the Fiscal Year ended December 31, 2024),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(other than a qualification, exception or explanation resulting solely from any upcoming maturity date of any Indebtedness occurring within one year from the time such opinion is delivered or actual or prospective anticipated defaults under any financial covenants under any such Indebtedness)) to the effect that such consolidated financial statements present fairly in all material respects the financial condition and results of operations of the Company and its consolidated Subsidiaries on a consolidated basis in accordance with GAAP;</w:t>
      </w:r>
    </w:p>
    <w:p>
      <w:pPr>
        <w:spacing w:after="0" w:line="151"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 later than sixty (60) days after the end of the first three Fiscal Quarters of each Fiscal Year,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5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3"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delivery of financial statements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a Compliance Certificate (i) certifying as to whether a Default, which has not previously been disclosed or which has not been cured, has occurred and, if such a Default has occurred,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(iii) stating whether any change in GAAP or in the application thereof has occurred since the date of the audited financial statements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and, if any such change has occurred, specifying the effect of such change on the financial statements accompanying such certificate, and (iv) to the extent there were any Unrestricted Subsidiaries during the applicable reporting period, setting forth a list of each Subsidiary that identifies as a Restricted Subsidiary or an Unrestricted Subsidiary as of the date of delivery of such certificate (to the extent that there have been any changes in the identity or status as a Restricted Subsidiary or Unrestricted Subsidiary of any such Subsidiaries since the later of the Effective Date and the most recent list provided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13" w:name="page214"/>
    <w:bookmarkEnd w:id="213"/>
    <w:p>
      <w:pPr>
        <w:ind w:firstLine="656"/>
        <w:spacing w:after="0" w:line="236" w:lineRule="auto"/>
        <w:tabs>
          <w:tab w:leader="none" w:pos="12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financial statements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the annual budget of the Company and its Restricted Subsidiaries for such calendar year in form and detail reasonably satisfactory to the Administrative Agent;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(x) such other information regarding the operations, business affairs and financial condition of the Company or any Restricted Subsidiary, or compliance with the terms of this Agreement, as the Required Lenders (through the Administrative Agent)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none of Company or any of the Restricted Subsidiaries will be required to disclose any information that the Company (in good faith) determines that (i) constitutes non-financial trade secrets or non-financial proprietary information or is otherwise commercially sensitive, (ii) disclosure to the Administrative Agent or any Lender is prohibited by any Requirement of Law or any binding agreement (or would otherwise cause a breach or default thereunder), (iii) is subject to attorney-client or similar privilege or constitutes attorney work product, (iv) constitutes material, non-public information or (v) is not reasonable to provide (which determination shall be made in the Company’s reasonable discretion);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Company relies on the immediately foregoing proviso for any reason, the Company shall advise the Administrative Agent thereof) and (y) any information and documentation reasonably requested by the Administrative Agent (or any Lender through the Administrative Agent) for purposes of compliance with applicable “know your customer” and anti-money laundering rules and regulations, including the USA PATRIOT Act and the Beneficial Ownership Regulation;</w:t>
      </w:r>
    </w:p>
    <w:p>
      <w:pPr>
        <w:spacing w:after="0" w:line="160"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any reasonable request therefor by the Administrative Agent (or any Lender through the Administrative Agent), copies of (i) any documents described in Section 101(k) and 101(l) of ERISA that the Company or any ERISA Affiliate may request of any Multiemployer Plans and (ii) any notices described in Section 101(l)(1) of ERISA that the Company or any ERISA Affiliate may request with respect to any Multiemployer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Company or any ERISA Affiliate has not requested such documents or notices from the administrator or sponsor of the applicable Multiemployer Plan, the Company or the applicable ERISA Affiliate shall promptly make a request for such documents and notices from such administrator or sponsor and shall provide copies of such documents and notices promptly after receipt thereof;</w:t>
      </w:r>
    </w:p>
    <w:p>
      <w:pPr>
        <w:spacing w:after="0" w:line="150" w:lineRule="exact"/>
        <w:rPr>
          <w:rFonts w:ascii="Times New Roman" w:cs="Times New Roman" w:eastAsia="Times New Roman" w:hAnsi="Times New Roman"/>
          <w:sz w:val="21"/>
          <w:szCs w:val="21"/>
          <w:color w:val="auto"/>
        </w:rPr>
      </w:pPr>
    </w:p>
    <w:p>
      <w:pPr>
        <w:jc w:val="both"/>
        <w:ind w:firstLine="656"/>
        <w:spacing w:after="0" w:line="215" w:lineRule="auto"/>
        <w:tabs>
          <w:tab w:leader="none" w:pos="12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same become publicly available, copies of all periodic and other reports, proxy statements and other materials filed by any Loan Party or any Restricted Subsidiary with the SEC, or any Governmental Authority succeeding to any or all of the functions of the SEC, or with any national securities exchange, or distributed by the Company to its shareholders generally, as the case may be, and in any case not otherwise required to be delivered to the Administrative Agent pursuant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obligations in this </w:t>
      </w:r>
      <w:r>
        <w:rPr>
          <w:rFonts w:ascii="Times New Roman" w:cs="Times New Roman" w:eastAsia="Times New Roman" w:hAnsi="Times New Roman"/>
          <w:sz w:val="22"/>
          <w:szCs w:val="22"/>
          <w:u w:val="single" w:color="auto"/>
          <w:color w:val="auto"/>
        </w:rPr>
        <w:t>Section 5.01(g)</w:t>
      </w:r>
      <w:r>
        <w:rPr>
          <w:rFonts w:ascii="Times New Roman" w:cs="Times New Roman" w:eastAsia="Times New Roman" w:hAnsi="Times New Roman"/>
          <w:sz w:val="22"/>
          <w:szCs w:val="22"/>
          <w:color w:val="auto"/>
        </w:rPr>
        <w:t xml:space="preserve"> may be satisfied so long as such information is publicly available on the SEC’s EDGAR website;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each delivery of the financial statements under clause (a) and (b) above, the Company shall furnish the Administrative Agent and each Lender the related unaudited financial statements for the Loan Parties only and any further detail reasonably requested by the Administrative Agent regarding the elimination of the accounts of any Restricted Subsidiaries that are not Loan Parties from such financial statements.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14" w:name="page215"/>
    <w:bookmarkEnd w:id="214"/>
    <w:p>
      <w:pPr>
        <w:jc w:val="both"/>
        <w:spacing w:after="0" w:line="259" w:lineRule="auto"/>
        <w:rPr>
          <w:sz w:val="20"/>
          <w:szCs w:val="20"/>
          <w:color w:val="auto"/>
        </w:rPr>
      </w:pPr>
      <w:r>
        <w:rPr>
          <w:rFonts w:ascii="Times New Roman" w:cs="Times New Roman" w:eastAsia="Times New Roman" w:hAnsi="Times New Roman"/>
          <w:sz w:val="21"/>
          <w:szCs w:val="21"/>
          <w:color w:val="auto"/>
        </w:rPr>
        <w:t>and Retrieval system (“</w:t>
      </w:r>
      <w:r>
        <w:rPr>
          <w:rFonts w:ascii="Times New Roman" w:cs="Times New Roman" w:eastAsia="Times New Roman" w:hAnsi="Times New Roman"/>
          <w:sz w:val="21"/>
          <w:szCs w:val="21"/>
          <w:u w:val="single" w:color="auto"/>
          <w:color w:val="auto"/>
        </w:rPr>
        <w:t>EDGAR</w:t>
      </w:r>
      <w:r>
        <w:rPr>
          <w:rFonts w:ascii="Times New Roman" w:cs="Times New Roman" w:eastAsia="Times New Roman" w:hAnsi="Times New Roman"/>
          <w:sz w:val="21"/>
          <w:szCs w:val="21"/>
          <w:color w:val="auto"/>
        </w:rPr>
        <w:t xml:space="preserve">”); or (ii) on which such documents are posted on the Company’s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upon written request by the Administrative Agent (or any Lender through the Administrative Agent) to the Company, the Company shall deliver paper copies of such documents to the Administrative Agent or such Lender until a written request to cease delivering paper copies is given by the Administrative Agent or such Lender and (B) other than any posting that is publicly available on EDGAR, the Company shall notify the Administrative Agent and each Lender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timely accessing posted documents or requesting delivery of paper copies of such document to it and maintaining its copies of such documents. Notwithstanding the foregoing, the obligations in clauses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and</w:t>
      </w:r>
    </w:p>
    <w:p>
      <w:pPr>
        <w:spacing w:after="0" w:line="2" w:lineRule="exact"/>
        <w:rPr>
          <w:sz w:val="20"/>
          <w:szCs w:val="20"/>
          <w:color w:val="auto"/>
        </w:rPr>
      </w:pPr>
    </w:p>
    <w:p>
      <w:pPr>
        <w:jc w:val="both"/>
        <w:ind w:firstLine="8"/>
        <w:spacing w:after="0" w:line="246" w:lineRule="auto"/>
        <w:tabs>
          <w:tab w:leader="none" w:pos="342" w:val="left"/>
        </w:tabs>
        <w:numPr>
          <w:ilvl w:val="0"/>
          <w:numId w:val="1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may be satisfied by furnishing (A) the applicable financial statements, reports or other information required by such paragraphs of any Holdco Entity or (B) any Holdco Entity’s Form 10-K or 10-Q, as applicable, filed with the SEC, in each case, within the time periods specified in such paragraphs;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to the extent such financial statements, reports or other information relate to such Holdco Entity, such financial statements, reports and information shall be accompanied by information that explains in reasonable detail the differences between the information relating to such Holdco Entity, on the one hand, and the information relating to the Company on a standalone basis, on the other hand, which information shall be certified by a Financial Officer of the Company as having been fairly presented in all materials respects and (ii) to the extent such statements are in lieu of statements required to be provided under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such statements shall be accompanied by a report from such Holdco Entity’s certified public accountants, which report shall satisfy the applicable requirements set forth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Company will furnish to the Administrative Agent and each Lender prompt written notice of the following:</w:t>
      </w:r>
    </w:p>
    <w:p>
      <w:pPr>
        <w:spacing w:after="0" w:line="150" w:lineRule="exact"/>
        <w:rPr>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Proceeding by or before any arbitrator or Governmental Authority against or affecting the Company or any Restricted Subsidiary thereof that could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a Material Adverse Effect;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action arising under any Environmental Law or of any noncompliance by the Company or any Restricted Subsidiary with any Environmental Law or any permit, approval, license or other authorization required thereunder that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15" w:name="page216"/>
    <w:bookmarkEnd w:id="215"/>
    <w:p>
      <w:pPr>
        <w:ind w:left="1300" w:hanging="644"/>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accounting or financial reporting practices by the Company or any Restricted Subsidiary;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results in, or could reasonably be expected to result in, a Material Adverse Effect;</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any written notice or other correspondence from the SEC (or comparable agency in any applicable non U.S. jurisdiction) or any Insurance Regulatory Authority concerning any investigation or possible investigation or other inquiry by the SEC or such other agency or Insurance Regulatory Authority regarding financial or other operational results of the Company or any Restricted Subsidiary or the financial soundness or solvency position of any Insurance Subsidiary, in each case, that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ind w:right="20" w:firstLine="656"/>
        <w:spacing w:after="0" w:line="255" w:lineRule="auto"/>
        <w:tabs>
          <w:tab w:leader="none" w:pos="1291"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any Lender, any change in the information provided in the Beneficial Ownership Certification delivered to such Lender that would result in a change to the list of beneficial owners identified in such certification; and</w:t>
      </w:r>
    </w:p>
    <w:p>
      <w:pPr>
        <w:spacing w:after="0" w:line="134" w:lineRule="exact"/>
        <w:rPr>
          <w:rFonts w:ascii="Times New Roman" w:cs="Times New Roman" w:eastAsia="Times New Roman" w:hAnsi="Times New Roman"/>
          <w:sz w:val="21"/>
          <w:szCs w:val="21"/>
          <w:color w:val="auto"/>
        </w:rPr>
      </w:pPr>
    </w:p>
    <w:p>
      <w:pPr>
        <w:jc w:val="both"/>
        <w:ind w:firstLine="656"/>
        <w:spacing w:after="0" w:line="215" w:lineRule="auto"/>
        <w:tabs>
          <w:tab w:leader="none" w:pos="128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five (5) Business Days (or such other longer period to which the Administrative Agent may agree) following the effectiveness, receipt or delivery thereof, as the case may be, (i) the entry into and effectiveness of, or any material amendment, restatement, replacement, supplement, consent, waiver or other modification to, any material document, agreement or instrument evidencing or governing the terms of any Material Indebtedness constituting Incremental Equivalent Debt or Ratio Debt (together with copies thereof) and (ii) any notice of event of default, termination, prepayment or foreclosure or other remedial action under or in respect of any such Indebtedness.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Each notice delivered under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(i) shall contain a heading or a reference line that reads “Notice under Section 5.02 of the Hagerty Credit Agreement dated March 7, 2025” and (ii) shall be accompanied by a statement of a Financial Officer or other executive officer of the Company setting forth reasonable details of the event or development requiring such notice and any action taken or proposed to be taken with respect thereto.</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The Company will, and will cause each of its Restricted Subsidiaries to,</w:t>
      </w:r>
    </w:p>
    <w:p>
      <w:pPr>
        <w:jc w:val="both"/>
        <w:ind w:firstLine="8"/>
        <w:spacing w:after="0" w:line="208" w:lineRule="auto"/>
        <w:tabs>
          <w:tab w:leader="none" w:pos="30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 or cause to be done all things necessary to preserve, renew and keep in full force and effect (i) its legal existence except, solely in the case of a Restricted Subsidiary (other than a Loan Party), where the failure to do so could not reasonably be expected to result in a Material Adverse Effect and (ii) all of its rights, licenses, permits, privileges and franchises material or necessary to the conduct of its business, including without limitation its insurance agency and other insurance arrangements; provided that the foregoing shall not prohibit (A) any merger, consolidation, liquidation, Disposition or dissolution permitted under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or (B) any change in the insurance companies providing the insurance and reinsurance for the customers of the Company and its Restricted Subsidiaries or any change in its insurance agency and other arrangements if such change could not reasonably be expected to result in a Material Adverse Effect and (b) carry on and conduct its business in substantially the same manner and in substantially the same fields of enterprise as it is presently conducted or any business, operations and activities that are reasonably similar, related, ancillary, complimentary or incidental thereto or a reasonable extension, development or expansion thereof, including without limitation, the provision of full service collector car loans and financing.</w:t>
      </w:r>
    </w:p>
    <w:p>
      <w:pPr>
        <w:spacing w:after="0" w:line="15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The Company will, and will cause each of its Restricted Subsidiaries to, pay its Tax liabilities, that, if not paid, could result in a Material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1"/>
          <w:szCs w:val="21"/>
          <w:color w:val="auto"/>
        </w:rPr>
        <w:t>Adverse Effect, except where (a)(i) the validity or amount thereof is being contested in good faith by appropriate proceedings and</w:t>
      </w:r>
    </w:p>
    <w:p>
      <w:pPr>
        <w:jc w:val="both"/>
        <w:ind w:firstLine="8"/>
        <w:spacing w:after="0" w:line="218" w:lineRule="auto"/>
        <w:tabs>
          <w:tab w:leader="none" w:pos="33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such Restricted Subsidiary has set aside on its books adequate reserves with respect thereto in accordance with GAAP or (b) the failure to make payment pending such contest could not reasonably be expected to result in a Material Adverse Effect.</w:t>
      </w:r>
    </w:p>
    <w:p>
      <w:pPr>
        <w:spacing w:after="0" w:line="15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The Company will, and will cause each of its Restricted Subsidiaries to, (a) keep and maintain all property material to the conduct of its business in good working order and condition, ordinary wear and tear and casualty and condemnation excepted, except to the extent the failure to do so could not reasonably be expected to result in a Material Adverse Effect and (b) maintain, with financially sound and reputable insurance companies, insurance in such amounts and against such risks as are customarily maintained under similar circumstances by companies engaged in the same or similar businesses operating in the same or similar locations.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Books and Records; Inspection Rights</w:t>
      </w:r>
      <w:r>
        <w:rPr>
          <w:rFonts w:ascii="Times New Roman" w:cs="Times New Roman" w:eastAsia="Times New Roman" w:hAnsi="Times New Roman"/>
          <w:sz w:val="21"/>
          <w:szCs w:val="21"/>
          <w:color w:val="auto"/>
        </w:rPr>
        <w:t xml:space="preserve">. The Company will, and will cause each of its Restricted Subsidiaries to, keep proper books of record and account in which full, true and correct entries are made of all dealings and transactions in relation to its business and activities in order to permit the preparation of financial statements in accordance with GAAP. The Company will, and will cause each of its Restricted Subsidiaries to, permit any representatives designated by the Administrative Agent or any Lender, upon reasonable prior written notice, to visit and inspect its properties, to examine and make extracts from its books and records, and to discuss its affairs, finances and condition with its Financial Officers and independent accountants, all at such reasonable times during normal business hours and as often as reasonably requested. The Company acknowledges that the Administrative Agent, after exercising its rights of inspection, may prepare and distribute to the Lenders certain Reports pertaining to the Loan Parties’ assets for internal use by the Administrative Agent and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3" w:lineRule="exact"/>
        <w:rPr>
          <w:sz w:val="20"/>
          <w:szCs w:val="20"/>
          <w:color w:val="auto"/>
        </w:rPr>
      </w:pPr>
    </w:p>
    <w:p>
      <w:pPr>
        <w:jc w:val="both"/>
        <w:ind w:firstLine="8"/>
        <w:spacing w:after="0" w:line="207" w:lineRule="auto"/>
        <w:tabs>
          <w:tab w:leader="none" w:pos="29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 be required to reimburse such expenses unless an Event of Default exists at the time thereof and (b) the Company shall have the opportunity to be present at any meeting with its independent accountants. Notwithstanding anything to the contrary in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the Company and its Subsidiaries will not be required to disclose or permit the inspection or discussion of, any document, information or other matter the Company (in good faith) determines (i) that disclosure to the Administrative Agent or any Lender (or their respective agents, representatives or contractors) is prohibited by law or any binding agreement (or would otherwise cause a breach or default thereunder) not entered into in contemplation of avoiding such inspection and disclosure rights, (ii) that is subject to attorney client or similar privilege or constitutes attorney work product, (iii) in respect of which the Company or any Subsidiary owes confidentiality obligations to any third party not entered into in contemplation of avoiding such inspection and disclosure, (iv) that constitutes non-financial trade secrets or non-financial proprietary information of the Company or any Subsidiary thereof or any customers or suppliers of the foregoing (except to the extent the Administrative Agent or Lender seeking to inspect such trade secrets or proprietary information enters into a separate confidentiality agreement reasonably acceptable to the Company with respect to such trade secrets or proprietary information) or is otherwise commercially sensitive, (v) that constitutes material, non-public information within the meaning of the United States securities laws or (vi) is not reasonable to provide.</w:t>
      </w:r>
    </w:p>
    <w:p>
      <w:pPr>
        <w:spacing w:after="0" w:line="16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will, and will cause each of its Restricted Subsidiaries to, (i) comply with each Requirement of Law applicable to it or its property (including without limitation Environmental Laws) and (ii) perform its obligations under any order, writ, injunction or decree applicable to it or its property, except where, in each case, the failure to do so, individually or in the aggregate, could not reasonably be expected to result in a Material Adverse Effect. The Company will not, and will not permit any of its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17" w:name="page218"/>
    <w:bookmarkEnd w:id="217"/>
    <w:p>
      <w:pPr>
        <w:jc w:val="both"/>
        <w:spacing w:after="0" w:line="217" w:lineRule="auto"/>
        <w:rPr>
          <w:sz w:val="20"/>
          <w:szCs w:val="20"/>
          <w:color w:val="auto"/>
        </w:rPr>
      </w:pPr>
      <w:r>
        <w:rPr>
          <w:rFonts w:ascii="Times New Roman" w:cs="Times New Roman" w:eastAsia="Times New Roman" w:hAnsi="Times New Roman"/>
          <w:sz w:val="21"/>
          <w:szCs w:val="21"/>
          <w:color w:val="auto"/>
        </w:rPr>
        <w:t>Subsidiaries to, be or become subject at any time to any law, regulation, or list of any government agency (including, without limitation, the U.S. Office of Foreign Asset Control list) that prohibits or limits any Lender from making any advance or extension of credit to any Borrower or Guarantor or from otherwise conducting business with any Borrower or any Guarantor, or fail to provide documentary and other evidence of any Borrower’s or any Guarantor’s identity as may be requested by any Lender at any time to enable such Lender to verify such Borrower’s or such Guarantor’s identity or to comply with any applicable law or regulation, including, without limitation, Section 326 of the USA Patriot Act of 2001, 31 U.S.C. Section 5318. Each BAG Entity and its Subsidiaries and each other Subsidiary of the Company that makes loans or advances to any Person that is not a Subsidiary, in each case, will maintain an effective anti-money laundering compliance program that includes appropriate leadership and oversight, a system of internal compliance controls, a proper ongoing risk assessment, sound risk-based customer due diligence, customer and legal entity customer beneficial owner identity documentation and verification procedures, appropriate detection and reporting of suspicious activity, relevant training and independent program testing. The Company will maintain in effect and enforce policies and procedures designed to ensure compliance by the Company, its Subsidiaries and their respective directors, officers, employees and agents with Anti-Corruption Laws and applicable Sanctions in all material respects. Notwithstanding the foregoing, each UK Borrower and UK Subsidiary shall: (a) maintain all necessary regulatory authorizations, permissions, licenses or consents required (if any) to carry on its business and, if applicable, to the extent necessary for it to lawfully originate and (where applicable) execute any loans and carry on lending activities in England and Wales; and (b) comply with the authorizations, permissions, exemptions, licenses or consents (if any) required to carry on such lending activities in England and Wales, and promptly notify the Administrative Agent of any notice that any of such authorizations, permissions, exemptions, licenses or consents have been, will be revoked, suspended, cancelled, varied or made subject to any special conditions. The Company and its Restricted Subsidiaries will provide sufficient information to the Administrative Agent and the Lenders to facilitate the Lenders’ compliance with the rules for limitations on loans to one borrower.</w:t>
      </w:r>
    </w:p>
    <w:p>
      <w:pPr>
        <w:spacing w:after="0" w:line="16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Use of Proceeds and Letters of Credit</w:t>
      </w:r>
      <w:r>
        <w:rPr>
          <w:rFonts w:ascii="Times New Roman" w:cs="Times New Roman" w:eastAsia="Times New Roman" w:hAnsi="Times New Roman"/>
          <w:sz w:val="21"/>
          <w:szCs w:val="21"/>
          <w:color w:val="auto"/>
        </w:rPr>
        <w:t>. The proceeds of the Loans will be used for refinancing certain Indebtedness in existence on the Effective Date, including Indebtedness under the Existing Credit Agreement, and for working capital needs and for other general business purposes of the Loan Parties (including the payment of any Transaction Costs) or, with respect to Loans incurred pursuant to an Incremental Facility, as otherwise agreed by the Company and the Lenders of such Incremental Facility. No part of the proceeds of any Loan and no Letter of Credit will be used, whether directly or indirectly, for any purpose that entails a violation of any of the Regulations of the Federal Reserve Board, including Regulations T, U and X. The Borrowers will not request any Borrowing or Letter of Credit, and the Borrowers shall not use, and shall ensure that their Restricted Subsidiaries and their respective directors, officers and employees shall not use, the proceeds of any Borrowing or Letter of Credit (A) in furtherance of an offer, payment, promise to pay, or authorization of the payment or giving of money, or anything else of value, to any Person in material violation of any Anti-Corruption Laws, (B) for the purpose of funding, financing or facilitating any activities, business or transaction of or with any Sanctioned Person, or in any Sanctioned Country, or (C) in any manner that would result in the material violation of any Sanctions applicable to any party hereto. The foregoing clauses (B) and</w:t>
      </w:r>
    </w:p>
    <w:p>
      <w:pPr>
        <w:spacing w:after="0" w:line="8" w:lineRule="exact"/>
        <w:rPr>
          <w:sz w:val="20"/>
          <w:szCs w:val="20"/>
          <w:color w:val="auto"/>
        </w:rPr>
      </w:pPr>
    </w:p>
    <w:p>
      <w:pPr>
        <w:jc w:val="both"/>
        <w:ind w:firstLine="8"/>
        <w:spacing w:after="0" w:line="212" w:lineRule="auto"/>
        <w:tabs>
          <w:tab w:leader="none" w:pos="34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will not apply to any party hereto to which the Blocking Regulation applies, if and to the extent that such representations are or would be unenforceable by or in respect of that party pursuant to, or would otherwise result in a breach and/or violation of, (x) any provision of the Blocking Regulation (or the Blocking Law), (y) if the UKPTIL applies, the Blocking Law or the UKPTIL, as applicable, or (z) section 7 of the German Foreign Trade Ordinance (</w:t>
      </w:r>
      <w:r>
        <w:rPr>
          <w:rFonts w:ascii="Times New Roman" w:cs="Times New Roman" w:eastAsia="Times New Roman" w:hAnsi="Times New Roman"/>
          <w:sz w:val="22"/>
          <w:szCs w:val="22"/>
          <w:i w:val="1"/>
          <w:iCs w:val="1"/>
          <w:color w:val="auto"/>
        </w:rPr>
        <w:t>Verordnung zur Durchführung des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Außenwirtschaftsgesetzes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Außenwirtschaftsverordnung – AWV</w:t>
      </w:r>
      <w:r>
        <w:rPr>
          <w:rFonts w:ascii="Times New Roman" w:cs="Times New Roman" w:eastAsia="Times New Roman" w:hAnsi="Times New Roman"/>
          <w:sz w:val="22"/>
          <w:szCs w:val="22"/>
          <w:color w:val="auto"/>
        </w:rPr>
        <w:t>)) in connection with sections 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18" w:name="page219"/>
    <w:bookmarkEnd w:id="218"/>
    <w:p>
      <w:pPr>
        <w:spacing w:after="0" w:line="236" w:lineRule="auto"/>
        <w:rPr>
          <w:sz w:val="20"/>
          <w:szCs w:val="20"/>
          <w:color w:val="auto"/>
        </w:rPr>
      </w:pPr>
      <w:r>
        <w:rPr>
          <w:rFonts w:ascii="Times New Roman" w:cs="Times New Roman" w:eastAsia="Times New Roman" w:hAnsi="Times New Roman"/>
          <w:sz w:val="22"/>
          <w:szCs w:val="22"/>
          <w:color w:val="auto"/>
        </w:rPr>
        <w:t>and 19 para (3) no. 1 (a) of the German Foreign Trade Act, or any other comparable anti-boycott law, regulation or statute that is in force from time to time in Germany.</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to guarantee the payment when due of the Obligations, the Company shall execute and deliver, or cause to be executed and delivered, to the Lenders and the Administrative Agent, Guaranties of the Company (with respect to all Obligations of the Foreign Subsidiary Borrowers) and all present and future Wholly-Owned Domestic Subsidiaries (other than Excluded Subsidiaries).</w:t>
      </w:r>
    </w:p>
    <w:p>
      <w:pPr>
        <w:spacing w:after="0" w:line="152" w:lineRule="exact"/>
        <w:rPr>
          <w:rFonts w:ascii="Times New Roman" w:cs="Times New Roman" w:eastAsia="Times New Roman" w:hAnsi="Times New Roman"/>
          <w:sz w:val="22"/>
          <w:szCs w:val="22"/>
          <w:color w:val="auto"/>
        </w:rPr>
      </w:pPr>
    </w:p>
    <w:p>
      <w:pPr>
        <w:jc w:val="both"/>
        <w:ind w:firstLine="656"/>
        <w:spacing w:after="0" w:line="207" w:lineRule="auto"/>
        <w:tabs>
          <w:tab w:leader="none" w:pos="129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agrees that it will promptly notify the Administrative Agent of the formation or acquisition of any Domestic Subsidiary (other than an Excluded Subsidiary), any Foreign Subsidiary or any CFC Holdco. The Company agrees that it will, promptly upon the request of the Administrative Agent, execute and deliver, or cause each such Wholly-Owned Domestic Subsidiary to execute and deliver, in each case, such joinder agreements and such other agreements, documents and instruments, each in form and substance reasonably satisfactory to the Administrative Agent, sufficient to provide the Guarantees contemplated by this Agreement and the Guaranty. Additionally, the Company shall cause any such Person that becomes a Wholly-Owned Subsidiary (other than an Excluded Subsidiary), promptly upon the request of the Administrative Agent, to execute and deliver, as applicable, such certificates, legal opinions, insurance, organizational and other charter documents, resolutions and other documents and agreements as may be reasonably requested by Administrative Agent to give effect to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and, in any event, substantially consistent with those delivered by the Loan Parties to the Administrative Agent on the Effective Date (other than changes to legal opinions resulting from a change in counsel, change in law, change in fact or change in counsel’s form of opinion). The Company shall execute and deliver to the Administrative Agent such modifications to the terms of the Loan Documents (or, to the extent applicable as reasonably determined by the Administrative Agent, such other documents), in each case in form and substance reasonably satisfactory to the Administrative Agent and as the Administrative Agent deems reasonably necessary in order to ensure that any such Wholly-Owned Subsidiary (other than an Excluded Subsidiary) provides the Guarantees contemplated by this Agreement and the Guaranty. The Company shall execute and deliver, and cause each Guarantor to execute and deliver, promptly upon the request of the Administrative Agent, such agreements and instruments evidencing any intercompany loans or other advances among any Loan Party and the Restricted Subsidiaries, or any of them, and all such intercompany loans or other advances shall be, and are hereby made, subordinate to the Obligations and no payments may be made on such intercompany loans or other advances upon and during the continuance of an Event of Default unless otherwise agreed to by the Administrative Agent.</w:t>
      </w:r>
    </w:p>
    <w:p>
      <w:pPr>
        <w:spacing w:after="0" w:line="17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Change of Name or Location; Change of Fiscal Year</w:t>
      </w:r>
      <w:r>
        <w:rPr>
          <w:rFonts w:ascii="Times New Roman" w:cs="Times New Roman" w:eastAsia="Times New Roman" w:hAnsi="Times New Roman"/>
          <w:sz w:val="22"/>
          <w:szCs w:val="22"/>
          <w:color w:val="auto"/>
        </w:rPr>
        <w:t>. The Company shall give the Administrative Agent prior written notice of any (a) change in any Borrower’s or any Guarantor’s name as it appears in official filings in the state of its incorporation, organization or formation, as applicable, (b) change in any Borrower’s or any Guarantor’s chief executive office or principal place of business, (c) change in the type of entity that any Borrower or any Guarantor is, (d) change in any Borrower’s or any Guarantor’s corporate or organizational identification number, if any, issued by its state of incorporation, organization or formation, as applicable, or (e) change in any Borrower’s or any Guarantor’s state of incorporation, organization or formation, as applicable.</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19" w:name="page220"/>
    <w:bookmarkEnd w:id="219"/>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Designation of Unrestricted Subsidiaries</w:t>
      </w:r>
      <w:r>
        <w:rPr>
          <w:rFonts w:ascii="Times New Roman" w:cs="Times New Roman" w:eastAsia="Times New Roman" w:hAnsi="Times New Roman"/>
          <w:sz w:val="21"/>
          <w:szCs w:val="21"/>
          <w:color w:val="auto"/>
        </w:rPr>
        <w:t xml:space="preserve">. The Company may designate any Restricted Subsidiary as an Unrestricted Subsidiary or any Unrestricted Subsidiary as a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immediately before and after giving effect (including giving effect on a Pro Forma Basis) to any such designation, (i) no Default or Event of Default shall have occurred and be continuing or would result therefrom, (ii) the Company shall be in compliance on a Pro Forma Basis with the financial covenants set forth in Section 6.13 and (iii) Unrestricted Subsidiaries shall not account for greater than thirty (30)% of the total assets of the Company and its Subsidiaries calculated in accordance with GAAP on a consolidated basis, (b) no Borrower may be designated as an Unrestricted Subsidiary, (c) no Subsidiary may be designated as an Unrestricted Subsidiary if, after such designation, it would be a “Restricted Subsidiary” (or analogous concept) for the purpose of any Indebtedness that, at the time of the issuance or incurrence thereof, was subject to the Specified Debt Conditions or incurred in reliance on Section 6.01(v), (d) no Unrestricted Subsidiary may (i) own, directly or indirectly, any Equity Interests in any Restricted Subsidiary or (ii) hold Indebtedness of, or a Lien on any property of, a Loan Party or any Restricted Subsidiary that is not a Subsidiary to be so designated as an Unrestricted Subsidiary, (e) each of (i) the Subsidiary to be so designated and (ii) its Subsidiaries may not have or hold, at the time of designation, and does not thereafter, create, incur, issue, assume, guarantee or otherwise become directly or indirectly liable with respect to, any Indebtedness pursuant to which the lender has recourse to any of the assets of the Company or any Restricted Subsidiary (other than Equity Interests in an Unrestricted Subsidiary to the extent otherwise permitted hereunder), (f) no Subsidiary may be designated as an Unrestricted Subsidiary if at the time of such designation such Subsidiary owns or licenses on an exclusive basis (excluding exclusive licenses limited by territory or field of use) any intellectual property material to the business of the Company and the Restricted Subsidiaries taken as a whole and (g) without limiting the foregoing clause (f), after giving effect to such designation as an Unrestricted Subsidiary, such Unrestricted Subsidiary shall not own any intellectual property that is material to the business of the Company and the Restricted Subsidiaries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Company and its Restricted Subsidiaries may grant non-exclusive licenses of any intellectual property to any Unrestricted Subsidiary in the ordinary course of business so long as the Company and its Restricted Subsidiaries retain the beneficial ownership and the same rights to use such intellectual property as held prior to such license. Any such designation by the Company will be notified by the Company to the Administrative Agent by promptly delivering to the Administrative Agent a certificate signed by a Financial Officer of the Company certifying that such designation complies with this Section 5.12.The designation of any Subsidiary as an Unrestricted Subsidiary after the Effective Date shall constitute an Investment by the Company (or the applicable Restricted Subsidiary that owns such designated Subsidiary) therein at the date of designation as set forth in Section 6.04. The designation of any Unrestricted Subsidiary as a Restricted Subsidiary shall constitute (x) the incurrence at the time of designation of any Investment, Indebtedness or Liens of such Subsidiary existing at such time and (y) a return on any Investment by the Company (or the applicable Restricted Subsidiary that owns such designated Subsidiary) in Unrestricted Subsidiaries pursuant to Section 6.04. As of the Effective Date, there are no Unrestricted Subsidiaries.</w:t>
      </w:r>
    </w:p>
    <w:p>
      <w:pPr>
        <w:spacing w:after="0" w:line="17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Depository Banks</w:t>
      </w:r>
      <w:r>
        <w:rPr>
          <w:rFonts w:ascii="Times New Roman" w:cs="Times New Roman" w:eastAsia="Times New Roman" w:hAnsi="Times New Roman"/>
          <w:sz w:val="22"/>
          <w:szCs w:val="22"/>
          <w:color w:val="auto"/>
        </w:rPr>
        <w:t xml:space="preserve">. The Company and its Domestic Subsidiaries that are Loan Parties shall maintain the Administrative Agent as principal disbursement and depository bank of such Loan Parties,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shall not apply to Broad Arrow Capital, LLC and its Subsidiaries. For avoidance of doubt, Loan Parties shall be permitted to maintain disbursement and depository accounts at other institutions so long as the Administrative Agent is the Loan Parties’ principal disbursement and depository bank, taken as a whole.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0" w:name="page221"/>
    <w:bookmarkEnd w:id="220"/>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The Company will, and will cause each of its Subsidiaries to, maintain policies, procedures, and internal controls reasonably designed to ensure compliance with the applicable Anti-Corruption Laws.</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VI.</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Until all of the Obligations shall have been Paid in Full, the Company covenants and agrees with the Lenders that:</w:t>
      </w:r>
    </w:p>
    <w:p>
      <w:pPr>
        <w:spacing w:after="0" w:line="19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The Company will not, and will not permit any Restricted Subsidiary to, create, incur, assume or permit to exist any Indebtedness, except:</w:t>
      </w:r>
    </w:p>
    <w:p>
      <w:pPr>
        <w:spacing w:after="0" w:line="150" w:lineRule="exact"/>
        <w:rPr>
          <w:sz w:val="20"/>
          <w:szCs w:val="20"/>
          <w:color w:val="auto"/>
        </w:rPr>
      </w:pPr>
    </w:p>
    <w:p>
      <w:pPr>
        <w:ind w:firstLine="656"/>
        <w:spacing w:after="0" w:line="236" w:lineRule="auto"/>
        <w:tabs>
          <w:tab w:leader="none" w:pos="1293"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under the Loan Documents (including any Extended Revolving Credit Loans, Extended Term Loans and any Incremental Facilities);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as of the Effective Date and set forth in </w:t>
      </w:r>
      <w:r>
        <w:rPr>
          <w:rFonts w:ascii="Times New Roman" w:cs="Times New Roman" w:eastAsia="Times New Roman" w:hAnsi="Times New Roman"/>
          <w:sz w:val="22"/>
          <w:szCs w:val="22"/>
          <w:u w:val="single" w:color="auto"/>
          <w:color w:val="auto"/>
        </w:rPr>
        <w:t>Schedule 6.01</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among the Company and its Restricted Subsidiaries to the extent permitted by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and</w:t>
      </w:r>
    </w:p>
    <w:p>
      <w:pPr>
        <w:jc w:val="both"/>
        <w:ind w:firstLine="8"/>
        <w:spacing w:after="0" w:line="212" w:lineRule="auto"/>
        <w:tabs>
          <w:tab w:leader="none" w:pos="33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owing by the Company to any Holdco Entity in an amount not to exceed the aggregate amount of Restricted Payments permitted to be made by the Company to the Holdco Entities in compliance with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at the time of incurrence of such Indebtedness so long as the repayment of such Indebtedness is subordinated to the Obligations in a manner reasonably acceptable to the Administrative Agent, it being agreed that payments on such Indebtedness may be made unless an Event of Default has occurred and is continuing or would be caused thereby;</w:t>
      </w:r>
    </w:p>
    <w:p>
      <w:pPr>
        <w:spacing w:after="0" w:line="154"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Company or any Restricted Subsidiary of Indebtedness of the Company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Indebtedness so Guaranteed is otherwise permitted by this Section 6.01;</w:t>
      </w:r>
    </w:p>
    <w:p>
      <w:pPr>
        <w:spacing w:after="0" w:line="150"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3"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Company or any Restricted Subsidiary incurred to finance the acquisition, replacement, repair, maintenance, construction or improvement of any fixed or capital assets and the costs of the installation, prepaid maintenance and fees, costs and expenses in connection with the acquisition, replacement, repair maintenance, construction, improvement, assumption or installation, including Capital Lease Obligations, purchase money indebtedness and any Indebtedness assumed in connection with the acquisition, replacement, repair, maintenance, construction or improvement of any such assets and the costs of the installation, prepaid maintenance and fees, costs and expenses in connection with the acquisition, replacement, repair maintenance, construction, improvement, assumption or installation or secured by a Lien on any such assets prior to the acquisition or the completion of the replacement, repair, maintenance, construction or improvement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Indebtedness is incurred prior to or within three hundred sixty-five (365) days (or such longer period as the Administrative Agent may agree in its sole discretion) after such acquisition or the completion of such replacement, repair, maintenance, construction or improvement or assumption and (ii) the aggregate outstanding principal amount of Indebtedness permitted by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(calculated at the time such Indebtedness is incurred) shall not exceed, on or after the Effective Date, the greater of (x) $15,000,000 and (y) 10% of Applicable EBITDA without the prior written consent of the Required Lenders;</w:t>
      </w:r>
    </w:p>
    <w:p>
      <w:pPr>
        <w:spacing w:after="0" w:line="159"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arising under Swap Agreements permitted under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1" w:name="page222"/>
    <w:bookmarkEnd w:id="221"/>
    <w:p>
      <w:pPr>
        <w:jc w:val="both"/>
        <w:ind w:firstLine="656"/>
        <w:spacing w:after="0" w:line="225" w:lineRule="auto"/>
        <w:tabs>
          <w:tab w:leader="none" w:pos="1291"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resulting from Investments permitted by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6.01(g)</w:t>
      </w:r>
      <w:r>
        <w:rPr>
          <w:rFonts w:ascii="Times New Roman" w:cs="Times New Roman" w:eastAsia="Times New Roman" w:hAnsi="Times New Roman"/>
          <w:sz w:val="22"/>
          <w:szCs w:val="22"/>
          <w:color w:val="auto"/>
        </w:rPr>
        <w:t>), including, without limitation, Indebtedness incurred by a BAG Entity the proceeds of which are used solely to finance a BAG Loan or BAG Guarantee in the ordinary course of business;</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under indemnity agreements to title insurers to cause such title insurers to issue title insurance policies in the ordinary course of business;</w:t>
      </w:r>
    </w:p>
    <w:p>
      <w:pPr>
        <w:spacing w:after="0" w:line="150" w:lineRule="exact"/>
        <w:rPr>
          <w:rFonts w:ascii="Times New Roman" w:cs="Times New Roman" w:eastAsia="Times New Roman" w:hAnsi="Times New Roman"/>
          <w:sz w:val="22"/>
          <w:szCs w:val="22"/>
          <w:color w:val="auto"/>
        </w:rPr>
      </w:pPr>
    </w:p>
    <w:p>
      <w:pPr>
        <w:jc w:val="both"/>
        <w:ind w:firstLine="656"/>
        <w:spacing w:after="0" w:line="210" w:lineRule="auto"/>
        <w:tabs>
          <w:tab w:leader="none" w:pos="128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incurred in respect of: (i) Banking Services; (ii) (A) trade contracts, government contracts, performance bonds, bid bonds, appeal bonds, surety bonds, custom bonds, reclamation bonds and completion guarantees, return of money and similar obligations not in connection with money borrowed, including those incurred to secure health, safety and environmental obligations and (B) guaranties, letters of credit, bank guaranties, surety bonds, performance bonds or similar instruments supporting the foregoing items described in </w:t>
      </w:r>
      <w:r>
        <w:rPr>
          <w:rFonts w:ascii="Times New Roman" w:cs="Times New Roman" w:eastAsia="Times New Roman" w:hAnsi="Times New Roman"/>
          <w:sz w:val="22"/>
          <w:szCs w:val="22"/>
          <w:u w:val="single" w:color="auto"/>
          <w:color w:val="auto"/>
        </w:rPr>
        <w:t>subclause (A)</w:t>
      </w:r>
      <w:r>
        <w:rPr>
          <w:rFonts w:ascii="Times New Roman" w:cs="Times New Roman" w:eastAsia="Times New Roman" w:hAnsi="Times New Roman"/>
          <w:sz w:val="22"/>
          <w:szCs w:val="22"/>
          <w:color w:val="auto"/>
        </w:rPr>
        <w:t>; (iii) Indebtedness owed to any Person consisting of unpaid premiums for insurance (including property, casualty, business interruption or liability insurance) of the Company or any of its Restricted Subsidiaries, so long as such Indebtedness shall not be in excess of the amount of the applicable unpaid premiums; (iv) take-or-pay obligations contained in supply arrangements, (v) obligations to reacquire assets or inventory in connection with customer financing arrangements; and/or (vi) Indebtedness of the Company or any Restricted Subsidiary consisting of obligations owing under incentive, supply, license or similar agreements, in each case for this Section 6.01(i), entered into in the ordinary course of business or consistent with past practice;</w:t>
      </w:r>
    </w:p>
    <w:p>
      <w:pPr>
        <w:spacing w:after="0" w:line="157" w:lineRule="exact"/>
        <w:rPr>
          <w:rFonts w:ascii="Times New Roman" w:cs="Times New Roman" w:eastAsia="Times New Roman" w:hAnsi="Times New Roman"/>
          <w:sz w:val="22"/>
          <w:szCs w:val="22"/>
          <w:color w:val="auto"/>
        </w:rPr>
      </w:pPr>
    </w:p>
    <w:p>
      <w:pPr>
        <w:jc w:val="both"/>
        <w:ind w:firstLine="656"/>
        <w:spacing w:after="0" w:line="226" w:lineRule="auto"/>
        <w:tabs>
          <w:tab w:leader="none" w:pos="1284"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from agreements of the Company or a Restricted Subsidiary of the Company providing for indemnification, adjustment of purchase price or other similar obligations, in each case, incurred or assumed in connection with</w:t>
      </w:r>
    </w:p>
    <w:p>
      <w:pPr>
        <w:spacing w:after="0" w:line="1" w:lineRule="exact"/>
        <w:rPr>
          <w:rFonts w:ascii="Times New Roman" w:cs="Times New Roman" w:eastAsia="Times New Roman" w:hAnsi="Times New Roman"/>
          <w:sz w:val="21"/>
          <w:szCs w:val="21"/>
          <w:color w:val="auto"/>
        </w:rPr>
      </w:pPr>
    </w:p>
    <w:p>
      <w:pPr>
        <w:ind w:firstLine="8"/>
        <w:spacing w:after="0" w:line="225" w:lineRule="auto"/>
        <w:tabs>
          <w:tab w:leader="none" w:pos="365"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any business, assets or subsidiary of the Company or (B) any Permitted Acquisition or other Investments permitted under this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any Person that becomes a Restricted Subsidiary on or after the date of this Agreement or otherwise assumed in connection with any Permitted Acquisition or other Investment permitted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Indebtedness exists at the time such Person becomes a Restricted Subsidiary or such Acquisition or other Investment occurs, (ii) such Indebtedness is not directly or indirectly recourse to any of the Loan Parties or any of their respective assets, other than to the Person that becomes a Restricted Subsidiary and its Subsidiaries or the assets acquired and the improvements thereon and proceeds and products thereof, and with respect to the Equity Interests of such Restricted Subsidiaries (it being understood that individual financings of the type permitted under this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provided by any Person may be cross-collateralized to other financings of such type provided by such Person or its Affiliates), (iii) the aggregate outstanding principal amount of all Indebtedness permitted under this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(calculated at the time such Indebtedness is incurred) shall not exceed at any time the greater of (x) $15,000,000 and (y) 10% of Applicable EBITDA, and (iv) after giving effect to such Indebtedness, the Company would be in compliance, on a Pro Forma Basis, with the financial covenants set forth in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jc w:val="both"/>
        <w:ind w:firstLine="656"/>
        <w:spacing w:after="0" w:line="227" w:lineRule="auto"/>
        <w:tabs>
          <w:tab w:leader="none" w:pos="1284"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consisting of “earnouts” and other similar deferred consideration in respect of Permitted Acquisitions and other Investments permitted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the aggregate amount of any such earnouts or similar deferred consideration exceeds, for any Fiscal Year, $20,000,000 (valued at the maximum potential amount payable with respect to each such Indebtedness), the Company shall cause any such additional earnout and deferred consideration to be subordinated in right of payment to the Obligations in accordance with the Agreed Subordination Principles;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2" w:name="page223"/>
    <w:bookmarkEnd w:id="222"/>
    <w:p>
      <w:pPr>
        <w:jc w:val="both"/>
        <w:ind w:firstLine="656"/>
        <w:spacing w:after="0" w:line="213" w:lineRule="auto"/>
        <w:tabs>
          <w:tab w:leader="none" w:pos="1284"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consisting of promissory notes issued by the Company or any Restricted Subsidiary of the Company to current or former directors, officers, employees, managers and consultants of any Holdco Entity, the Company or any Restricted Subsidiary (or their respective spouses, former spouses, domestic partners, former domestic spouses, successors, executors, administrators, heirs, legatees or distributees) to finance the redemption, purchase or other acquisition or retirement for value by any Holdco Entity of its Equity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the issuance of such promissory note such redemption, purchase or other acquisition or retirement (or the Restricted Payment to facilitate such redemption, purchase or other acquisition or retirement) is otherwise permitted by this Agreement;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unfunded pension fund and other employee benefit plan obligations and liabilities incurred by the Loan Parties and the Restricted Subsidiaries in the ordinary course of business and (ii) Indebtedness of the Company or any Restricted Subsidiary representing (x) deferred compensation to current or former directors, officers, employees, members of management, managers and consultants of the Company, any Restricted Subsidiary or any Holdco Entity in the ordinary course of business and</w:t>
      </w:r>
    </w:p>
    <w:p>
      <w:pPr>
        <w:spacing w:after="0" w:line="2" w:lineRule="exact"/>
        <w:rPr>
          <w:rFonts w:ascii="Times New Roman" w:cs="Times New Roman" w:eastAsia="Times New Roman" w:hAnsi="Times New Roman"/>
          <w:sz w:val="21"/>
          <w:szCs w:val="21"/>
          <w:color w:val="auto"/>
        </w:rPr>
      </w:pPr>
    </w:p>
    <w:p>
      <w:pPr>
        <w:ind w:right="20" w:firstLine="8"/>
        <w:spacing w:after="0" w:line="225" w:lineRule="auto"/>
        <w:tabs>
          <w:tab w:leader="none" w:pos="32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compensation or other similar arrangements in connection with any Permitted Acquisition or any other transaction permitted under this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Guarantees by the Company or any Restricted Subsidiary of the obligations of suppliers, customers and licensees in the ordinary course of business, (ii) Indebtedness incurred in the ordinary course of business in respect of obligations of the Company or any Restricted Subsidiary to pay the deferred purchase price of goods or services or progress payments in connection with such goods and services or in respect of customer deposits or advance payments received in the ordinary course of business and (iii) Indebtedness in respect of letters of credit, bankers’ acceptances, bank guaranties or similar instruments supporting trade payables, warehouse receipts or similar facilities entered into in the ordinary course of business;</w:t>
      </w:r>
    </w:p>
    <w:p>
      <w:pPr>
        <w:spacing w:after="0" w:line="153" w:lineRule="exact"/>
        <w:rPr>
          <w:rFonts w:ascii="Times New Roman" w:cs="Times New Roman" w:eastAsia="Times New Roman" w:hAnsi="Times New Roman"/>
          <w:sz w:val="21"/>
          <w:szCs w:val="21"/>
          <w:color w:val="auto"/>
        </w:rPr>
      </w:pPr>
    </w:p>
    <w:p>
      <w:pPr>
        <w:ind w:firstLine="656"/>
        <w:spacing w:after="0" w:line="236" w:lineRule="auto"/>
        <w:tabs>
          <w:tab w:leader="none" w:pos="1291"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Company or any Restricted Subsidiary in respect of any letter of credit or bank guarantee issued in favor of any Issuing Bank to support any Defaulting Lender’s participation in Letters of Credit issued hereunder;</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Company or any Restricted Subsidiary supported by any Letter of Credit or any other letter of credit, bank guaranty or similar instrument otherwise permitted by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an aggregate outstanding principal amount not to exceed the amount of Restricted Payments permitted under </w:t>
      </w:r>
      <w:r>
        <w:rPr>
          <w:rFonts w:ascii="Times New Roman" w:cs="Times New Roman" w:eastAsia="Times New Roman" w:hAnsi="Times New Roman"/>
          <w:sz w:val="22"/>
          <w:szCs w:val="22"/>
          <w:u w:val="single" w:color="auto"/>
          <w:color w:val="auto"/>
        </w:rPr>
        <w:t>Section 6.06(e)</w:t>
      </w:r>
      <w:r>
        <w:rPr>
          <w:rFonts w:ascii="Times New Roman" w:cs="Times New Roman" w:eastAsia="Times New Roman" w:hAnsi="Times New Roman"/>
          <w:sz w:val="22"/>
          <w:szCs w:val="22"/>
          <w:color w:val="auto"/>
        </w:rPr>
        <w:t xml:space="preserve"> at the time of such incurrence; provided that any such Indebtedness incurred in lieu of such Restricted Payments shall reduce availability under the Restricted Payment basket under </w:t>
      </w:r>
      <w:r>
        <w:rPr>
          <w:rFonts w:ascii="Times New Roman" w:cs="Times New Roman" w:eastAsia="Times New Roman" w:hAnsi="Times New Roman"/>
          <w:sz w:val="22"/>
          <w:szCs w:val="22"/>
          <w:u w:val="single" w:color="auto"/>
          <w:color w:val="auto"/>
        </w:rPr>
        <w:t>Section 6.06(e)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4"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premiums (if any), interest (including post-petition interest and payment in kind interest), accretion or amortization of original issue discount, fees, expenses and charges with respect to Indebtedness of the Company or any Restricted Subsidiary otherwise permitted hereunder;</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Permitted Refinancing Indebtedness in respect of Indebtedness incurred pursuant to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w:t>
      </w:r>
      <w:r>
        <w:rPr>
          <w:rFonts w:ascii="Times New Roman" w:cs="Times New Roman" w:eastAsia="Times New Roman" w:hAnsi="Times New Roman"/>
          <w:sz w:val="21"/>
          <w:szCs w:val="21"/>
          <w:color w:val="auto"/>
        </w:rPr>
        <w: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Reinsurance Subsidiary under the Reinsurance Loan Documents in an aggregate principal amount not to exceed $50,000,000, as reduced from time to time; provided that, (i) no Default exists or would be caused by the incurrence thereof, (ii) the Company is receiving at least $50,000,000 of proceeds from the issuance of Qualified Equity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3" w:name="page224"/>
    <w:bookmarkEnd w:id="223"/>
    <w:p>
      <w:pPr>
        <w:jc w:val="both"/>
        <w:spacing w:after="0" w:line="225" w:lineRule="auto"/>
        <w:rPr>
          <w:sz w:val="20"/>
          <w:szCs w:val="20"/>
          <w:color w:val="auto"/>
        </w:rPr>
      </w:pPr>
      <w:r>
        <w:rPr>
          <w:rFonts w:ascii="Times New Roman" w:cs="Times New Roman" w:eastAsia="Times New Roman" w:hAnsi="Times New Roman"/>
          <w:sz w:val="22"/>
          <w:szCs w:val="22"/>
          <w:color w:val="auto"/>
        </w:rPr>
        <w:t>Interests prior to or substantially simultaneously with the initial incurrence of such Indebtedness, and (iii) neither the Company nor any of its Restricted Subsidiaries (other than the Reinsurance Subsidiary) is liable, directly or indirectly, by a Guarantee or otherwise, for such Indebtedness or any of the other obligations or other liabilities thereunder;</w:t>
      </w:r>
    </w:p>
    <w:p>
      <w:pPr>
        <w:spacing w:after="0" w:line="153" w:lineRule="exact"/>
        <w:rPr>
          <w:sz w:val="20"/>
          <w:szCs w:val="20"/>
          <w:color w:val="auto"/>
        </w:rPr>
      </w:pPr>
    </w:p>
    <w:p>
      <w:pPr>
        <w:ind w:right="20" w:firstLine="656"/>
        <w:spacing w:after="0" w:line="236" w:lineRule="auto"/>
        <w:tabs>
          <w:tab w:leader="none" w:pos="129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not otherwise permitted by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in the aggregate at any time outstanding not in excess of the greater of (x) $75,000,000 and (y) 50% of Applicable EBITDA (calculated at the time such Indebtedness is incurred);</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unsecured Indebtedness if at the time of and immediately after giving effect (including giving effect on a Pro Forma Basis) to such incurrence or issuance, the Net Leverage Ratio does not exceed 3.25 to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terms of such Indebtedness and any Liens (if any) in respect thereof shall satisfy the Specified Debt Conditions and (ii) the aggregate outstanding principal amount of all Indebtedness incurred or issued in reliance on this </w:t>
      </w:r>
      <w:r>
        <w:rPr>
          <w:rFonts w:ascii="Times New Roman" w:cs="Times New Roman" w:eastAsia="Times New Roman" w:hAnsi="Times New Roman"/>
          <w:sz w:val="22"/>
          <w:szCs w:val="22"/>
          <w:u w:val="single" w:color="auto"/>
          <w:color w:val="auto"/>
        </w:rPr>
        <w:t>clause (w)</w:t>
      </w:r>
      <w:r>
        <w:rPr>
          <w:rFonts w:ascii="Times New Roman" w:cs="Times New Roman" w:eastAsia="Times New Roman" w:hAnsi="Times New Roman"/>
          <w:sz w:val="22"/>
          <w:szCs w:val="22"/>
          <w:color w:val="auto"/>
        </w:rPr>
        <w:t xml:space="preserve"> by Restricted Subsidiaries that are not Loan Parties (calculated at the time such Indebtedness is incurred) shall not at any time exceed the greater of (x) $15,000,000 and (y) 10% of Applicable EBITDA;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notwithstanding the foregoing, only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Specified Debt Conditions shall be a condition to the incurrence of Indebtedness in reliance on this </w:t>
      </w:r>
      <w:r>
        <w:rPr>
          <w:rFonts w:ascii="Times New Roman" w:cs="Times New Roman" w:eastAsia="Times New Roman" w:hAnsi="Times New Roman"/>
          <w:sz w:val="22"/>
          <w:szCs w:val="22"/>
          <w:u w:val="single" w:color="auto"/>
          <w:color w:val="auto"/>
        </w:rPr>
        <w:t>Section 6.01(w)</w:t>
      </w:r>
      <w:r>
        <w:rPr>
          <w:rFonts w:ascii="Times New Roman" w:cs="Times New Roman" w:eastAsia="Times New Roman" w:hAnsi="Times New Roman"/>
          <w:sz w:val="22"/>
          <w:szCs w:val="22"/>
          <w:color w:val="auto"/>
        </w:rPr>
        <w:t xml:space="preserve"> in an aggregate outstanding principal amount not to exceed $20,000,000 at any time;</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Equivalent Debt;</w:t>
      </w:r>
    </w:p>
    <w:p>
      <w:pPr>
        <w:spacing w:after="0" w:line="179"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1"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Indebtedness of any Securitization SPE incurred pursuant to any Permitted Securitization Facility and (ii) Indebtedness of the Company or any Restricted Subsidiary incurred pursuant to Permitted Securitization Facilities to the extent constituting Standard Securitization Undertakings;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amount of all Attributable Securitization Indebtedness permitted under this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xml:space="preserve"> shall not exceed an aggregate amount of $275,000,000 at any time outstanding; and</w:t>
      </w:r>
    </w:p>
    <w:p>
      <w:pPr>
        <w:spacing w:after="0" w:line="15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BAG Guarantees permitted under </w:t>
      </w:r>
      <w:r>
        <w:rPr>
          <w:rFonts w:ascii="Times New Roman" w:cs="Times New Roman" w:eastAsia="Times New Roman" w:hAnsi="Times New Roman"/>
          <w:sz w:val="22"/>
          <w:szCs w:val="22"/>
          <w:u w:val="single" w:color="auto"/>
          <w:color w:val="auto"/>
        </w:rPr>
        <w:t>Section 6.04(kk)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Company will not, and will not permit any Restricted Subsidiary to, create, incur, assume or permit to exist any Lien on any property or asset now owned or hereafter acquired by it except:</w:t>
      </w:r>
    </w:p>
    <w:p>
      <w:pPr>
        <w:spacing w:after="0" w:line="150" w:lineRule="exact"/>
        <w:rPr>
          <w:sz w:val="20"/>
          <w:szCs w:val="20"/>
          <w:color w:val="auto"/>
        </w:rPr>
      </w:pPr>
    </w:p>
    <w:p>
      <w:pPr>
        <w:ind w:left="1300" w:hanging="644"/>
        <w:spacing w:after="0"/>
        <w:tabs>
          <w:tab w:leader="none" w:pos="13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179"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Company or any Restricted Subsidiary existing on the Effective Date and set forth in </w:t>
      </w:r>
      <w:r>
        <w:rPr>
          <w:rFonts w:ascii="Times New Roman" w:cs="Times New Roman" w:eastAsia="Times New Roman" w:hAnsi="Times New Roman"/>
          <w:sz w:val="22"/>
          <w:szCs w:val="22"/>
          <w:u w:val="single" w:color="auto"/>
          <w:color w:val="auto"/>
        </w:rPr>
        <w:t>Schedule 6.02</w:t>
      </w:r>
      <w:r>
        <w:rPr>
          <w:rFonts w:ascii="Times New Roman" w:cs="Times New Roman" w:eastAsia="Times New Roman" w:hAnsi="Times New Roman"/>
          <w:sz w:val="22"/>
          <w:szCs w:val="22"/>
          <w:color w:val="auto"/>
        </w:rPr>
        <w:t xml:space="preserve"> and the replacement, extension or renewal thereof in connection with any Permitted Refinancing Indebtedness in respect of the Indebtedness (or the replacement, extension or renewal of the obligations) secured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 shall not apply to any other property or asset of the Company or any Restricted Subsidiary other than improvements thereon and the proceeds and products thereof (it being understood that individual financings of the type permitted under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provided by any Person may be cross-collateralized to other financings of such type permitted under this Agreement and provided by such Person or its Affiliates);</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acquired, replaced, repaired, constructed or improved by the Company or any Restricted Subsidiary and the replacement, extension or renewal thereof in connection with any Permitted Refinancing Indebtedness in respect of the Indebtedness (or the replacement, extension or renewal of the obligation) secured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Indebtedness secured thereby is permitted by </w:t>
      </w:r>
      <w:r>
        <w:rPr>
          <w:rFonts w:ascii="Times New Roman" w:cs="Times New Roman" w:eastAsia="Times New Roman" w:hAnsi="Times New Roman"/>
          <w:sz w:val="22"/>
          <w:szCs w:val="22"/>
          <w:u w:val="single" w:color="auto"/>
          <w:color w:val="auto"/>
        </w:rPr>
        <w:t>Section 6.01(e)</w:t>
      </w:r>
      <w:r>
        <w:rPr>
          <w:rFonts w:ascii="Times New Roman" w:cs="Times New Roman" w:eastAsia="Times New Roman" w:hAnsi="Times New Roman"/>
          <w:sz w:val="22"/>
          <w:szCs w:val="22"/>
          <w:color w:val="auto"/>
        </w:rPr>
        <w:t>, (ii)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4" w:name="page225"/>
    <w:bookmarkEnd w:id="224"/>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Indebtedness secured thereby is incurred prior to or within three hundred sixty-five (365) days (or such longer period as the Administrative Agent may agree in its discretion) after such acquisition or the completion of such replacement, repair, maintenance, construction or improvement or assumption, (iii) the Indebtedness secured thereby does not exceed the cost of acquiring, replacing, repairing, constructing or improving such fixed or capital assets and the costs of the installation, prepaid maintenance and fees, costs and expenses in connection with the acquisition, replacement, repair maintenance, construction, improvement, assumption or installation and (iv) such security interests shall not apply to any other property or assets of the Company or any Restricted Subsidiary other than improvements thereon and the proceeds and products thereof (it being understood that individual financings of the type permitted under </w:t>
      </w:r>
      <w:r>
        <w:rPr>
          <w:rFonts w:ascii="Times New Roman" w:cs="Times New Roman" w:eastAsia="Times New Roman" w:hAnsi="Times New Roman"/>
          <w:sz w:val="22"/>
          <w:szCs w:val="22"/>
          <w:u w:val="single" w:color="auto"/>
          <w:color w:val="auto"/>
        </w:rPr>
        <w:t>Section 6.01(e)</w:t>
      </w:r>
      <w:r>
        <w:rPr>
          <w:rFonts w:ascii="Times New Roman" w:cs="Times New Roman" w:eastAsia="Times New Roman" w:hAnsi="Times New Roman"/>
          <w:sz w:val="22"/>
          <w:szCs w:val="22"/>
          <w:color w:val="auto"/>
        </w:rPr>
        <w:t xml:space="preserve"> provided by any Person may be cross-collateralized to other financings of such type permitted under this Agreement and provided by such Person or its Affiliates);</w:t>
      </w:r>
    </w:p>
    <w:p>
      <w:pPr>
        <w:spacing w:after="0" w:line="158" w:lineRule="exact"/>
        <w:rPr>
          <w:sz w:val="20"/>
          <w:szCs w:val="20"/>
          <w:color w:val="auto"/>
        </w:rPr>
      </w:pPr>
    </w:p>
    <w:p>
      <w:pPr>
        <w:jc w:val="both"/>
        <w:ind w:firstLine="656"/>
        <w:spacing w:after="0" w:line="210" w:lineRule="auto"/>
        <w:tabs>
          <w:tab w:leader="none" w:pos="129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of a Person existing at the time such Person is acquired or merged with or into or consolidated with any Loan Party or any Restricted Subsidiary or on assets otherwise acquired in a Permitted Acquisition or other Investment permitted hereunder, in each case, to the extent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(i) do not extend to property not subject to such Liens at the time of acquisition other than the improvements thereon and the proceeds and products thereof (it being understood that individual financings of the type permitted under </w:t>
      </w:r>
      <w:r>
        <w:rPr>
          <w:rFonts w:ascii="Times New Roman" w:cs="Times New Roman" w:eastAsia="Times New Roman" w:hAnsi="Times New Roman"/>
          <w:sz w:val="22"/>
          <w:szCs w:val="22"/>
          <w:u w:val="single" w:color="auto"/>
          <w:color w:val="auto"/>
        </w:rPr>
        <w:t>Section 6.01(e)</w:t>
      </w:r>
      <w:r>
        <w:rPr>
          <w:rFonts w:ascii="Times New Roman" w:cs="Times New Roman" w:eastAsia="Times New Roman" w:hAnsi="Times New Roman"/>
          <w:sz w:val="22"/>
          <w:szCs w:val="22"/>
          <w:color w:val="auto"/>
        </w:rPr>
        <w:t xml:space="preserve"> provided by any Person may be cross-collateralized to other financings permitted under this Agreement of such type provided by such Person or its Affiliates) and (ii) are not created in anticipation or contemplation of such acquisition, merger or consolidation or other Investment;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immediately foregoing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not apply to Liens incurred or permitted to exist in reliance on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to the extent such Liens secure Indebtedness and other obligations in an aggregate outstanding amount (calculated at the time such Lien is incurred, assumed or acquired, as applicable) not to exceed at any time the greater of (x) $15,000,000 and (y) 10% of Applicable EBITDA;</w:t>
      </w:r>
    </w:p>
    <w:p>
      <w:pPr>
        <w:spacing w:after="0" w:line="14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rights under insurance policies and proceeds thereof securing obligations permitted by </w:t>
      </w:r>
      <w:r>
        <w:rPr>
          <w:rFonts w:ascii="Times New Roman" w:cs="Times New Roman" w:eastAsia="Times New Roman" w:hAnsi="Times New Roman"/>
          <w:sz w:val="22"/>
          <w:szCs w:val="22"/>
          <w:u w:val="single" w:color="auto"/>
          <w:color w:val="auto"/>
        </w:rPr>
        <w:t>Section 6.01(i)</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securing Indebtedness or other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aggregate outstanding amount of all Indebtedness or other obligations secured by the Liens permitted by this subparagraph (f) (calculated at the time such Lien is incurred) shall not at any time exceed the greater of (x) $75,000,000 and (y) 50% of Applicable EBITDA in the aggregate at any time outstanding;</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cash collateral applied as described in Section 2.05(j) with respect to the LC Exposure;</w:t>
      </w:r>
    </w:p>
    <w:p>
      <w:pPr>
        <w:spacing w:after="0" w:line="179"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1"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Insurance Subsidiary, any of the following incurred in the ordinary course of business (i) as a condition to obtaining or maintaining any Insurance Licenses issued to it by any Insurance Regulatory Authority or (ii) as otherwise required to comply with applicable Requirements of Laws: (A) Liens on securities and financial instruments which are assets of any Insurance Subsidiary in respect of such Insurance Subsidiary’s obligations, as applicable, arising out of repurchase and reverse repurchase or similar arrangements entered into in the ordinary course of business and on ordinary business terms;</w:t>
      </w:r>
    </w:p>
    <w:p>
      <w:pPr>
        <w:spacing w:after="0" w:line="2" w:lineRule="exact"/>
        <w:rPr>
          <w:rFonts w:ascii="Times New Roman" w:cs="Times New Roman" w:eastAsia="Times New Roman" w:hAnsi="Times New Roman"/>
          <w:sz w:val="21"/>
          <w:szCs w:val="21"/>
          <w:color w:val="auto"/>
        </w:rPr>
      </w:pPr>
    </w:p>
    <w:p>
      <w:pPr>
        <w:jc w:val="both"/>
        <w:ind w:firstLine="8"/>
        <w:spacing w:after="0" w:line="214" w:lineRule="auto"/>
        <w:tabs>
          <w:tab w:leader="none" w:pos="37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whole loan obligations which are assets of any Insurance Subsidiary securing Indebtedness of such Insurance Subsidiary that is recourse only to such obligations subject to such Lien; and (C) Liens on deposits of cash or securities with or in reinsurance trusts, collateral agents, custodians, securities intermediaries, ceding companies, insurance regulators or separate/segregated accounts, or arising out of funding agreements or letter of credit facilities or funds withheld or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premium withheld structures in connection with liabilities arising under insurance (or reinsurance) policies or contracts;</w:t>
      </w:r>
    </w:p>
    <w:p>
      <w:pPr>
        <w:spacing w:after="0" w:line="179" w:lineRule="exact"/>
        <w:rPr>
          <w:sz w:val="20"/>
          <w:szCs w:val="20"/>
          <w:color w:val="auto"/>
        </w:rPr>
      </w:pPr>
    </w:p>
    <w:p>
      <w:pPr>
        <w:ind w:firstLine="656"/>
        <w:spacing w:after="0" w:line="236" w:lineRule="auto"/>
        <w:tabs>
          <w:tab w:leader="none" w:pos="128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encumbering intercompany loans or advances permitted under </w:t>
      </w:r>
      <w:r>
        <w:rPr>
          <w:rFonts w:ascii="Times New Roman" w:cs="Times New Roman" w:eastAsia="Times New Roman" w:hAnsi="Times New Roman"/>
          <w:sz w:val="22"/>
          <w:szCs w:val="22"/>
          <w:u w:val="single" w:color="auto"/>
          <w:color w:val="auto"/>
        </w:rPr>
        <w:t>Section 6.04(v)</w:t>
      </w:r>
      <w:r>
        <w:rPr>
          <w:rFonts w:ascii="Times New Roman" w:cs="Times New Roman" w:eastAsia="Times New Roman" w:hAnsi="Times New Roman"/>
          <w:sz w:val="22"/>
          <w:szCs w:val="22"/>
          <w:color w:val="auto"/>
        </w:rPr>
        <w:t>; provided that any such Lien encumbering the assets of a Loan Party may only secure loans or advances owing to another Loan Party;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Permitted Securitization Facility Assets arising under Permitted Securitization Facilities;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 Lien, Standard Securitization Obligations; and</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31" w:lineRule="auto"/>
        <w:tabs>
          <w:tab w:leader="none" w:pos="1284"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any BAG Guarantee;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 shall secure only the obligations of a BAG Entity in respect of the BAG Guarantee of the BAG Loan financing the purchase of such vehicle, (ii) such BAG Guarantee shall be permitted under </w:t>
      </w:r>
      <w:r>
        <w:rPr>
          <w:rFonts w:ascii="Times New Roman" w:cs="Times New Roman" w:eastAsia="Times New Roman" w:hAnsi="Times New Roman"/>
          <w:sz w:val="21"/>
          <w:szCs w:val="21"/>
          <w:u w:val="single" w:color="auto"/>
          <w:color w:val="auto"/>
        </w:rPr>
        <w:t>Section 6.04(kk)</w:t>
      </w:r>
      <w:r>
        <w:rPr>
          <w:rFonts w:ascii="Times New Roman" w:cs="Times New Roman" w:eastAsia="Times New Roman" w:hAnsi="Times New Roman"/>
          <w:sz w:val="21"/>
          <w:szCs w:val="21"/>
          <w:color w:val="auto"/>
        </w:rPr>
        <w:t xml:space="preserve"> and (iii) such Lien shall only apply to the interests and rights of the applicable BAG Entity in respect of such BAG Loan and any collateral pledged by a third-party customer in respect thereof and all proceeds thereof.</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and will not permit any Restricted Subsidiary to, merge into or consolidate with any other Person, or permit any other Person to merge into or consolidate with it, or Dispose of (in one transaction or in a series of transactions and whether effected pursuant to a Division or otherwise) any of its assets (other than cash or Permitted Investments and/or other assets that were Permitted Investments when the relevant original Investment was made in the ordinary course of business), or liquidate or dissolve, except for the following:</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44"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Dispositions of inventory, goods and/or services in the ordinary course of business, (B) Dispositions of property that is or has become obsolete, damaged, worn out or surplus, (C) non-exclusive licenses or sublicenses of intellectual property, (D) the lapse, abandonment, cancellation or other Disposition of Intellectual Property that is, in the reasonable good faith judgment of the Company, no longer material to the conduct of the business of the Company and its Restricted Subsidiaries, taken as a whole, or no longer commercially reasonable to maintain, and (E) Dispositions of equipment or real property to the extent that such property is exchanged for credit against the purchase price of similar replacement property or the proceeds of such Disposition are promptly applied to the purchase price of such replacement property;</w:t>
      </w:r>
    </w:p>
    <w:p>
      <w:pPr>
        <w:spacing w:after="0" w:line="156"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true lease or sublease of property not constituting Indebtedness and not entered into as part of a sale and leaseback transaction;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(A) by and among the Company and any of its Restricted Subsidiaries which if made by a Loan Party to a non-Loan Party for less than fair market value (as reasonably estimated by the Company) is an Investment permitted under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and (B) comprised of Permitted Intercompany Activities;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by the Company or any Restricted Subsidiary that is permitted under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6.03(a)(iv)</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Disposition or issuance by the Company of its own Equity Interests that does not result in a Change in Control, (B) any Disposition or issuance by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26" w:name="page227"/>
    <w:bookmarkEnd w:id="226"/>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any Restricted Subsidiary of its own Equity Interests to its equity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proportion of such Equity Interests and of each class of such Equity Interests (both on an outstanding and fully-diluted basis) held by the Loan Parties, taken as a whole, does not change as a result of such Disposition or issuance, except as otherwise permitted under this Agreement, (C) to the extent necessary to satisfy any Requirements of Law in the jurisdiction of incorporation, organization or formation, as applicable, of any Restricted Subsidiary of the Company, any Disposition or issuance by such Restricted Subsidiary of its own Equity Interests constituting directors’ qualifying shares or nominal holdings, (D) any Indebtedness permitted by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(other than by reference to this Section </w:t>
      </w:r>
      <w:r>
        <w:rPr>
          <w:rFonts w:ascii="Times New Roman" w:cs="Times New Roman" w:eastAsia="Times New Roman" w:hAnsi="Times New Roman"/>
          <w:sz w:val="22"/>
          <w:szCs w:val="22"/>
          <w:u w:val="single" w:color="auto"/>
          <w:color w:val="auto"/>
        </w:rPr>
        <w:t>6.03(a)(v)(D))</w:t>
      </w:r>
      <w:r>
        <w:rPr>
          <w:rFonts w:ascii="Times New Roman" w:cs="Times New Roman" w:eastAsia="Times New Roman" w:hAnsi="Times New Roman"/>
          <w:sz w:val="22"/>
          <w:szCs w:val="22"/>
          <w:color w:val="auto"/>
        </w:rPr>
        <w:t xml:space="preserve"> and (E) Investments permitted by Section 6.04 (other than by reference to this Section </w:t>
      </w:r>
      <w:r>
        <w:rPr>
          <w:rFonts w:ascii="Times New Roman" w:cs="Times New Roman" w:eastAsia="Times New Roman" w:hAnsi="Times New Roman"/>
          <w:sz w:val="22"/>
          <w:szCs w:val="22"/>
          <w:u w:val="single" w:color="auto"/>
          <w:color w:val="auto"/>
        </w:rPr>
        <w:t>6.03(a)(v)(E)</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644"/>
        <w:spacing w:after="0" w:line="225" w:lineRule="auto"/>
        <w:tabs>
          <w:tab w:leader="none" w:pos="128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accounts receivable in connection with the collection or compromise thereof in the ordinary course of business or in any situation of a work-out or financial distress, in each case, of the Person owing such accounts receivable;</w:t>
      </w:r>
    </w:p>
    <w:p>
      <w:pPr>
        <w:spacing w:after="0" w:line="152" w:lineRule="exact"/>
        <w:rPr>
          <w:rFonts w:ascii="Times New Roman" w:cs="Times New Roman" w:eastAsia="Times New Roman" w:hAnsi="Times New Roman"/>
          <w:sz w:val="22"/>
          <w:szCs w:val="22"/>
          <w:color w:val="auto"/>
        </w:rPr>
      </w:pPr>
    </w:p>
    <w:p>
      <w:pPr>
        <w:ind w:firstLine="644"/>
        <w:spacing w:after="0" w:line="236" w:lineRule="auto"/>
        <w:tabs>
          <w:tab w:leader="none" w:pos="129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terminations or the unwinding of any Swap Agreement pursuant to its terms which Swap Agreement is not prohibited under this Agreement;</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9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Dispositions,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6.03(a)(viii)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8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subject to or resulting from casualty losses and condemnation proceedings (including in lieu thereof or any similar proceedings);</w:t>
      </w:r>
    </w:p>
    <w:p>
      <w:pPr>
        <w:spacing w:after="0" w:line="150"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foreclosures or transfers of condemned property as a result of the exercise of “eminent domain” or other similar policies to the respective Governmental Authority or agency that has condemned the same (whether by deed in lieu of condemnation or otherwise) and transfers of properties that have been subject to a casualty to the respective insurer of such property as part of an insurance settlement;</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8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subleases, licenses or sublicenses or terminations thereof, in each case in the ordinary course of business and which do not materially interfere with the business of the Company and its Restricted Subsidiaries, taken as a whole;</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abandonments, cancellations or lapses of intellectual property rights, or issuance or registration, or applications for issuance or registration, of intellectual property rights, which, in the reasonable good faith determination of the Company, are not material to the conduct of the business of the Company or any of its Restricted Subsidiaries, or are no longer economical to maintain in light of its use;</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2" w:lineRule="exact"/>
        <w:rPr>
          <w:rFonts w:ascii="Times New Roman" w:cs="Times New Roman" w:eastAsia="Times New Roman" w:hAnsi="Times New Roman"/>
          <w:sz w:val="22"/>
          <w:szCs w:val="22"/>
          <w:color w:val="auto"/>
        </w:rPr>
      </w:pPr>
    </w:p>
    <w:p>
      <w:pPr>
        <w:ind w:firstLine="644"/>
        <w:spacing w:after="0" w:line="236" w:lineRule="auto"/>
        <w:tabs>
          <w:tab w:leader="none" w:pos="128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made to comply with any order of any Governmental Authority or any applicable Requirement of Law;</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9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of motor vehicles and information technology equipment purchased at the end of an operating lease and resold thereafter;</w:t>
      </w:r>
    </w:p>
    <w:p>
      <w:pPr>
        <w:spacing w:after="0" w:line="150" w:lineRule="exact"/>
        <w:rPr>
          <w:rFonts w:ascii="Times New Roman" w:cs="Times New Roman" w:eastAsia="Times New Roman" w:hAnsi="Times New Roman"/>
          <w:sz w:val="22"/>
          <w:szCs w:val="22"/>
          <w:color w:val="auto"/>
        </w:rPr>
      </w:pPr>
    </w:p>
    <w:p>
      <w:pPr>
        <w:ind w:right="20" w:firstLine="644"/>
        <w:spacing w:after="0" w:line="236" w:lineRule="auto"/>
        <w:tabs>
          <w:tab w:leader="none" w:pos="128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directors’ qualifying shares and shares issued to foreign nationals as required by applicable Requirements of Law;</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319405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95" w:right="339" w:bottom="1440" w:gutter="0" w:footer="0" w:header="0"/>
        </w:sectPr>
      </w:pPr>
    </w:p>
    <w:bookmarkStart w:id="227" w:name="page228"/>
    <w:bookmarkEnd w:id="227"/>
    <w:p>
      <w:pPr>
        <w:ind w:left="4" w:firstLine="644"/>
        <w:spacing w:after="0" w:line="236" w:lineRule="auto"/>
        <w:tabs>
          <w:tab w:leader="none" w:pos="129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to effect the formation of any Restricted Subsidiary that is a Division Successor,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formation of such Division Successor, the Company has complied with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to the extent applicable;</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16" w:lineRule="auto"/>
        <w:tabs>
          <w:tab w:leader="none" w:pos="1300"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assets having an aggregate fair market value (reasonably determined in good faith by the Company at the time of such Disposition) following the Effective Date not to exceed the greater of (x) $37,500,000 and</w:t>
      </w:r>
    </w:p>
    <w:p>
      <w:pPr>
        <w:ind w:left="304" w:hanging="304"/>
        <w:spacing w:after="0"/>
        <w:tabs>
          <w:tab w:leader="none" w:pos="30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Applicable EBITDA (calculated at the time such Disposition is made);</w:t>
      </w:r>
    </w:p>
    <w:p>
      <w:pPr>
        <w:spacing w:after="0" w:line="155" w:lineRule="exact"/>
        <w:rPr>
          <w:rFonts w:ascii="Times New Roman" w:cs="Times New Roman" w:eastAsia="Times New Roman" w:hAnsi="Times New Roman"/>
          <w:sz w:val="22"/>
          <w:szCs w:val="22"/>
          <w:color w:val="auto"/>
        </w:rPr>
      </w:pPr>
    </w:p>
    <w:p>
      <w:pPr>
        <w:ind w:left="4" w:right="20" w:firstLine="644"/>
        <w:spacing w:after="0" w:line="236" w:lineRule="auto"/>
        <w:tabs>
          <w:tab w:leader="none" w:pos="1288"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Dispositions, Investments permitted by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6.03(a)(xix)</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95"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merger, consolidation or amalgamation of (A) any Restricted Subsidiary of the Company into or with any Loan Party (provided that (x) any such transaction involving the Company shall result in the Company as the surviving entity, (y) subject to the immediately preceding clause (x), any such transaction involving a Foreign Subsidiary Borrower shall result in a Foreign Subsidiary Borrower as the surviving entity and (z) subject to the immediately preceding clauses (x) and (y), any such transaction involving a Guarantor shall result in a Guarantor as the surviving entity (or as the surviving entity becoming a Guarantor substantially concurrently therewith)), (B) any Restricted Subsidiary of the Company that is not a Loan Party into or with any other Restricted Subsidiary of the Company that is not a Loan Party (provided that any such transaction involving an Insurance Subsidiary shall result in an Insurance Subsidiary as the surviving entity), (C) any Restricted Subsidiary of the Company which is a Loan Party into or with any Restricted Subsidiary of the Company which is not a Loan Party so long as (x) such surviving Restricted Subsidiary becomes a Loan Party pursuant to </w:t>
      </w:r>
      <w:r>
        <w:rPr>
          <w:rFonts w:ascii="Times New Roman" w:cs="Times New Roman" w:eastAsia="Times New Roman" w:hAnsi="Times New Roman"/>
          <w:sz w:val="21"/>
          <w:szCs w:val="21"/>
          <w:u w:val="single" w:color="auto"/>
          <w:color w:val="auto"/>
        </w:rPr>
        <w:t>Section 5.09</w:t>
      </w:r>
      <w:r>
        <w:rPr>
          <w:rFonts w:ascii="Times New Roman" w:cs="Times New Roman" w:eastAsia="Times New Roman" w:hAnsi="Times New Roman"/>
          <w:sz w:val="21"/>
          <w:szCs w:val="21"/>
          <w:color w:val="auto"/>
        </w:rPr>
        <w:t xml:space="preserve"> or (y) the merger, consolidation or amalgamation is permitted under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or (D) any Restricted Subsidiary of the Company into or with any Unrestricted Subsidiary of the Company so long as the surviving entity is or becomes a Restricted Subsidiary to the extent the Company would have been able to satisfy, at the time of such merger, consolidation or amalgamation, the conditions in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for the designation of such Unrestricted Subsidiary as a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any such transaction involving a Wholly-Owned Subsidiary shall result in a Wholly-Owned Subsidiary as the continuing or surviving entity;</w:t>
      </w:r>
    </w:p>
    <w:p>
      <w:pPr>
        <w:spacing w:after="0" w:line="162" w:lineRule="exact"/>
        <w:rPr>
          <w:rFonts w:ascii="Times New Roman" w:cs="Times New Roman" w:eastAsia="Times New Roman" w:hAnsi="Times New Roman"/>
          <w:sz w:val="21"/>
          <w:szCs w:val="21"/>
          <w:color w:val="auto"/>
        </w:rPr>
      </w:pPr>
    </w:p>
    <w:p>
      <w:pPr>
        <w:ind w:left="1284" w:hanging="636"/>
        <w:spacing w:after="0"/>
        <w:tabs>
          <w:tab w:leader="none" w:pos="128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29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or dissolution of any Subsidiary or Disposition of 100% of the Equity Interests of any Immaterial Subsidiary if the Company determines in good faith that such liquidation or dissolution or Disposition is in the best interests of the Company and is not materially disadvantageous to the Lenders;</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1" w:lineRule="auto"/>
        <w:tabs>
          <w:tab w:leader="none" w:pos="130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consolidation or amalgamation of the Company or any Restricted Subsidiary for the sole purpose, and with the sole material effect, of changing its jurisdiction of incorporation, organization or formation, as applicable, which, in the case of any Loan Party (other than a Foreign Subsidiary Borrower), shall be a State of the U.S. or the District of Columbia; provided, however, that (A) in the case of any merger, consolidation or amalgamation involving the Company, (1) the Company shall be the surviving Person or (2) if the Person formed by or surviving any such merger, consolidation or amalgamation or the Person to which such Disposition will have been made is not the Company (any such Person, the “</w:t>
      </w:r>
      <w:r>
        <w:rPr>
          <w:rFonts w:ascii="Times New Roman" w:cs="Times New Roman" w:eastAsia="Times New Roman" w:hAnsi="Times New Roman"/>
          <w:sz w:val="22"/>
          <w:szCs w:val="22"/>
          <w:u w:val="single" w:color="auto"/>
          <w:color w:val="auto"/>
        </w:rPr>
        <w:t>Successor Borrower</w:t>
      </w:r>
      <w:r>
        <w:rPr>
          <w:rFonts w:ascii="Times New Roman" w:cs="Times New Roman" w:eastAsia="Times New Roman" w:hAnsi="Times New Roman"/>
          <w:sz w:val="22"/>
          <w:szCs w:val="22"/>
          <w:color w:val="auto"/>
        </w:rPr>
        <w:t>”), (I) the Successor Borrower shall be an entity organized or existing under the laws of the U.S., any state thereof or the District of Columbia, (II) the Successor Borrower shall expressly assume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319405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95" w:right="339" w:bottom="1440" w:gutter="0" w:footer="0" w:header="0"/>
        </w:sectPr>
      </w:pPr>
    </w:p>
    <w:bookmarkStart w:id="228" w:name="page229"/>
    <w:bookmarkEnd w:id="228"/>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the Obligations of the Company, and the related assumption agreement shall be reasonably satisfactory to the Administrative Agent and the Company and (III) each Guarantor, unless it is the other party to such merger, consolidation, amalgamation or Disposition, shall have executed and delivered a reaffirmation agreement with respect to its Guaranty Obligations; provided that, if the foregoing conditions under clauses (I) through (III) are satisfied, the Successor Borrower will succeed to, and be substituted for, the Company under this Agreement, (B) in the case of any merger, consolidation or amalgamation involving any Foreign Subsidiary Borrower, (1) if the Company or another Wholly-Owned Subsidiary shall be the surviving Person, (I) the Company or such Wholly-Owned Subsidiary shall have expressly assumed the Obligations of such Foreign Subsidiary Borrower, (II) if the surviving Person is a Wholly-Owned Subsidiary, such Wholly-Owned Subsidiary shall be designated by the Company as a Foreign Subsidiary Borrower in accordance with the terms of this Agreement, (III) the Company and/or such Wholly-Owned Subsidiary shall have taken all actions required under the Loan Documents or otherwise reasonably requested by the Administrative Agent, and (IV) each Guarantor, unless it is the other party to such merger, consolidation, amalgamation or Disposition, shall have executed and delivered a reaffirmation agreement with respect to its Guaranty Obligations; or (2) if the Company or another Wholly-Owned Subsidiary shall not be the surviving Person, (I) all Obligations owing by such Foreign Subsidiary Borrower shall be Paid in Full, (II) the Company shall execute and deliver a Foreign Subsidiary Borrower Termination and (III) such transaction shall comply with the provisions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(xxiii)</w:t>
      </w:r>
      <w:r>
        <w:rPr>
          <w:rFonts w:ascii="Times New Roman" w:cs="Times New Roman" w:eastAsia="Times New Roman" w:hAnsi="Times New Roman"/>
          <w:sz w:val="22"/>
          <w:szCs w:val="22"/>
          <w:color w:val="auto"/>
        </w:rPr>
        <w:t xml:space="preserve">), and (C) in the case of any merger, consolidation or amalgamation involving any other Loan Party, (1) a Loan Party shall be the surviving entity (or the surviving entity shall be joined as a Loan Party substantially concurrently therewith) or (2) such transaction shall comply with the provisions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6.03(a)(xxiii)</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644"/>
        <w:spacing w:after="0" w:line="217" w:lineRule="auto"/>
        <w:tabs>
          <w:tab w:leader="none" w:pos="128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creation of, or reorganization into, one or more series by any Restricted Subsidiary of the Company; provided that to the extent such Subsidiary is a Loan Party (A) such series shall (x) be Loan Parties, (y) shall become Loan Parties pursuant to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or (z) shall be restricted under the Loan Documents as if such series is a Loan Party, or (B) such creation of such series shall be deemed to be an Investment in such series and shall be permitted solely to the extent permitted under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6.03(a)(xxiv)</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44"/>
        <w:spacing w:after="0" w:line="213" w:lineRule="auto"/>
        <w:tabs>
          <w:tab w:leader="none" w:pos="129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so long as (A) at the time of making such Disposition and immediately after giving effect (including giving effect on a Pro Forma Basis) thereto (I) no Event of Default then exists or would result therefrom and (II) the Net Leverage Ratio does not exceed 2.75 to 1.00, (B) the Company or applicable Restricted Subsidiary shall receive consideration at least equal to the fair market value (as determined by the Company at the time of contractually agreeing to such Disposition) of the assets sold or otherwise Disposed of, and (C) at least 75% of the cash consideration therefor received by the Company or such Restricted Subsidiary, as the case may be, is applied to the Obligations to the extent required under Section 2.10(c);</w:t>
      </w:r>
    </w:p>
    <w:p>
      <w:pPr>
        <w:spacing w:after="0" w:line="156" w:lineRule="exact"/>
        <w:rPr>
          <w:rFonts w:ascii="Times New Roman" w:cs="Times New Roman" w:eastAsia="Times New Roman" w:hAnsi="Times New Roman"/>
          <w:sz w:val="22"/>
          <w:szCs w:val="22"/>
          <w:color w:val="auto"/>
        </w:rPr>
      </w:pPr>
    </w:p>
    <w:p>
      <w:pPr>
        <w:jc w:val="both"/>
        <w:ind w:firstLine="644"/>
        <w:spacing w:after="0" w:line="215" w:lineRule="auto"/>
        <w:tabs>
          <w:tab w:leader="none" w:pos="128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Dispositions (including by capital contribution or distribution), discount sales, transfers, contributions, assignments and/or pledges by Securitization Sellers and Securitization SPEs of Permitted Securitization Assets to Securitization Sellers and/or Securitization SPEs (or the applicable Permitted Securitization Facility Agent, as the case may be) under Permitted Securitization Facilities, (B) any Disposition or sale (including in connection with a repurchase) of (1) the Equity Interests in a Securitization SPE, or (2) the asset-backed securities issued by a Securitization SPE, in each case, in connection with a Permitted Securitization Facility, and (C) the Disposition,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319405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95" w:right="339" w:bottom="1440" w:gutter="0" w:footer="0" w:header="0"/>
        </w:sectPr>
      </w:pPr>
    </w:p>
    <w:bookmarkStart w:id="229" w:name="page230"/>
    <w:bookmarkEnd w:id="229"/>
    <w:p>
      <w:pPr>
        <w:ind w:left="660" w:right="20"/>
        <w:spacing w:after="0" w:line="236" w:lineRule="auto"/>
        <w:rPr>
          <w:sz w:val="20"/>
          <w:szCs w:val="20"/>
          <w:color w:val="auto"/>
        </w:rPr>
      </w:pPr>
      <w:r>
        <w:rPr>
          <w:rFonts w:ascii="Times New Roman" w:cs="Times New Roman" w:eastAsia="Times New Roman" w:hAnsi="Times New Roman"/>
          <w:sz w:val="22"/>
          <w:szCs w:val="22"/>
          <w:color w:val="auto"/>
        </w:rPr>
        <w:t>sale or repurchase of Permitted Securitization Assets in accordance with the terms of the related Permitted Securitization Facility Documents;</w:t>
      </w:r>
    </w:p>
    <w:p>
      <w:pPr>
        <w:spacing w:after="0" w:line="150" w:lineRule="exact"/>
        <w:rPr>
          <w:sz w:val="20"/>
          <w:szCs w:val="20"/>
          <w:color w:val="auto"/>
        </w:rPr>
      </w:pPr>
    </w:p>
    <w:p>
      <w:pPr>
        <w:jc w:val="both"/>
        <w:ind w:left="660" w:right="20" w:firstLine="644"/>
        <w:spacing w:after="0" w:line="216" w:lineRule="auto"/>
        <w:tabs>
          <w:tab w:leader="none" w:pos="195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by any Insurance Subsidiary of Investments made in reliance on Section 6.04(ii), so long as such Disposition is made (A) in compliance with all Requirements of Law applicable to such Insurance Subsidiary, and</w:t>
      </w:r>
    </w:p>
    <w:p>
      <w:pPr>
        <w:ind w:left="660" w:hanging="4"/>
        <w:spacing w:after="0" w:line="225" w:lineRule="auto"/>
        <w:tabs>
          <w:tab w:leader="none" w:pos="101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by the board of directors (or applicable authority thereof) of such Insurance Subsidiary or the Company, as the case may be; and</w:t>
      </w:r>
    </w:p>
    <w:p>
      <w:pPr>
        <w:spacing w:after="0" w:line="150" w:lineRule="exact"/>
        <w:rPr>
          <w:sz w:val="20"/>
          <w:szCs w:val="20"/>
          <w:color w:val="auto"/>
        </w:rPr>
      </w:pPr>
    </w:p>
    <w:p>
      <w:pPr>
        <w:ind w:left="660" w:firstLine="648"/>
        <w:spacing w:after="0" w:line="236" w:lineRule="auto"/>
        <w:rPr>
          <w:sz w:val="20"/>
          <w:szCs w:val="20"/>
          <w:color w:val="auto"/>
        </w:rPr>
      </w:pPr>
      <w:r>
        <w:rPr>
          <w:rFonts w:ascii="Times New Roman" w:cs="Times New Roman" w:eastAsia="Times New Roman" w:hAnsi="Times New Roman"/>
          <w:sz w:val="22"/>
          <w:szCs w:val="22"/>
          <w:color w:val="auto"/>
        </w:rPr>
        <w:t>(xxviii)the liquidation, dissolution or Disposition of the Equity Interests of any Unrestricted Subsidiary or any Securitization SPE or any Subsidiary of the foregoing.</w:t>
      </w:r>
    </w:p>
    <w:p>
      <w:pPr>
        <w:spacing w:after="0" w:line="150" w:lineRule="exact"/>
        <w:rPr>
          <w:sz w:val="20"/>
          <w:szCs w:val="20"/>
          <w:color w:val="auto"/>
        </w:rPr>
      </w:pPr>
    </w:p>
    <w:p>
      <w:pPr>
        <w:jc w:val="both"/>
        <w:ind w:firstLine="656"/>
        <w:spacing w:after="0" w:line="215" w:lineRule="auto"/>
        <w:tabs>
          <w:tab w:leader="none" w:pos="129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Loan Party will, nor will it permit any Restricted Subsidiary to, consummate a Division as the Dividing Person without the prior written consent of Administrative Agent, except as otherwise permitted in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Without limiting the foregoing, if any Loan Party that is a limited liability company consummates a Division (with or without the prior consent of Administrative Agent as required above), each Division Successor shall be required to comply with the obligations set forth in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and the other further assurances obligations set forth in the Loan Documents and become a Loan Party under this Agreement and the other Loan Documents.</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no Loan Party or any Restricted Subsidiary shall consummate any transaction that results in the Disposition (whether by way of any Restricted Payment, Investment, Lien, sale, conveyance, transfer or other Disposition, and whether in a single transaction or a series of transactions) of intellectual property that is material to the business of the Company and its Restricted Subsidiaries to any Unrestricted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and its Restricted Subsidiaries may grant non-exclusive licenses of any intellectual property to any Unrestricted Subsidiary in the ordinary course of business so long as the Company and its Restricted Subsidiaries retain the beneficial ownership and the same rights to use such intellectual property as held prior to such license.</w:t>
      </w:r>
    </w:p>
    <w:p>
      <w:pPr>
        <w:spacing w:after="0" w:line="15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Investments, Loans, Advances, Guarantees and Acquisitions</w:t>
      </w:r>
      <w:r>
        <w:rPr>
          <w:rFonts w:ascii="Times New Roman" w:cs="Times New Roman" w:eastAsia="Times New Roman" w:hAnsi="Times New Roman"/>
          <w:sz w:val="21"/>
          <w:szCs w:val="21"/>
          <w:color w:val="auto"/>
        </w:rPr>
        <w:t xml:space="preserve">. The Company will not, and will not permit any of its Restricted Subsidiaries to, purchase, hold or acquire (including pursuant to any merger with any Person that was not a Wholly-Owned Subsidiary prior to such merger) any capital stock or other Equity Interests, evidences of Indebtedness or other securities of, make or permit to exist any loans or advances to, Guarantee any Indebtedness of any other Person, or make any Acquisition (any one of the actions described in the foregoing provisions of this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herein an “</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except:</w:t>
      </w:r>
    </w:p>
    <w:p>
      <w:pPr>
        <w:spacing w:after="0" w:line="154" w:lineRule="exact"/>
        <w:rPr>
          <w:sz w:val="20"/>
          <w:szCs w:val="20"/>
          <w:color w:val="auto"/>
        </w:rPr>
      </w:pPr>
    </w:p>
    <w:p>
      <w:pPr>
        <w:ind w:firstLine="656"/>
        <w:spacing w:after="0" w:line="236" w:lineRule="auto"/>
        <w:tabs>
          <w:tab w:leader="none" w:pos="129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Permitted Investments and/or other assets that were Permitted Investments when the relevant original Investment was made in the ordinary course of business;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Investments existing as of the Effective Date and set forth in </w:t>
      </w:r>
      <w:r>
        <w:rPr>
          <w:rFonts w:ascii="Times New Roman" w:cs="Times New Roman" w:eastAsia="Times New Roman" w:hAnsi="Times New Roman"/>
          <w:sz w:val="22"/>
          <w:szCs w:val="22"/>
          <w:u w:val="single" w:color="auto"/>
          <w:color w:val="auto"/>
        </w:rPr>
        <w:t>Schedule 6.04</w:t>
      </w:r>
      <w:r>
        <w:rPr>
          <w:rFonts w:ascii="Times New Roman" w:cs="Times New Roman" w:eastAsia="Times New Roman" w:hAnsi="Times New Roman"/>
          <w:sz w:val="22"/>
          <w:szCs w:val="22"/>
          <w:color w:val="auto"/>
        </w:rPr>
        <w:t xml:space="preserve">, (ii) Permitted Intercompany Activities and (iii) any modification, replacement, renewal or extension of any Investment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so long as no such modification, renewal or extension thereof increases the amount of such Investment except as otherwise permitted by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endorsements for collection or deposit in the ordinary course of business, (ii) extensions of trade credit arising or acquired in the ordinary course of business, (iii) Investments made in the ordinary course of business in connection with obtaining, maintaining or renewing client contacts and loans or advances made to distributors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30" w:name="page231"/>
    <w:bookmarkEnd w:id="230"/>
    <w:p>
      <w:pPr>
        <w:jc w:val="both"/>
        <w:ind w:firstLine="8"/>
        <w:spacing w:after="0" w:line="225" w:lineRule="auto"/>
        <w:tabs>
          <w:tab w:leader="none" w:pos="38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settlements in the ordinary course of business in connection with such extensions of trade credit, settlement of delinquent accounts or disputes with or judgments against any Person or any foreclosure or deed in lieu of foreclosure with respect to any Lien held as security for an obligation owing to the Company or any Restricted Subsidiary;</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including in the form of Guaranty Obligations, by and among the Company and/or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Investment consisting of loans or advances or any other Indebtedness for borrowed money by any Restricted Subsidiary that is not a Loan Party to a Loan Party shall be subordinated in right of payment to the Obligations in accordance with the Agreed Subordination Principles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so long as no Event of Default has occurred and is continuing or would result therefrom, the Loan Parties shall be permitted to make regularly scheduled payments of principal and interest of any such Indebtedness to the extent such Indebtedness constitutes short-term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Investments by Loan Parties in Restricted Subsidiaries that are not Loan Parties are subject to the limitation in </w:t>
      </w:r>
      <w:r>
        <w:rPr>
          <w:rFonts w:ascii="Times New Roman" w:cs="Times New Roman" w:eastAsia="Times New Roman" w:hAnsi="Times New Roman"/>
          <w:sz w:val="22"/>
          <w:szCs w:val="22"/>
          <w:u w:val="single" w:color="auto"/>
          <w:color w:val="auto"/>
        </w:rPr>
        <w:t>Section 6.04(v)</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and advances to directors, officers, employees, managers and consultants of any Holdco Entity, the Company or any Restricted Subsidiary (i) to finance reasonable and customary business-related travel, entertainment and relocation expenses for ordinary course purposes or (ii) otherwise in an aggregate outstanding principal amount of all loans and advances permitted pursuant to this </w:t>
      </w:r>
      <w:r>
        <w:rPr>
          <w:rFonts w:ascii="Times New Roman" w:cs="Times New Roman" w:eastAsia="Times New Roman" w:hAnsi="Times New Roman"/>
          <w:sz w:val="22"/>
          <w:szCs w:val="22"/>
          <w:u w:val="single" w:color="auto"/>
          <w:color w:val="auto"/>
        </w:rPr>
        <w:t>clause (e)(ii)</w:t>
      </w:r>
      <w:r>
        <w:rPr>
          <w:rFonts w:ascii="Times New Roman" w:cs="Times New Roman" w:eastAsia="Times New Roman" w:hAnsi="Times New Roman"/>
          <w:sz w:val="22"/>
          <w:szCs w:val="22"/>
          <w:color w:val="auto"/>
        </w:rPr>
        <w:t xml:space="preserve"> shall not exceed $750,000 in the aggregate at any time;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loans and advances to officers, directors, employees, managers and consultants of any Holdco Entity, the Company or any Restricted Subsidiary for the sole purpose of purchasing Equity Interests (or purchase of such loans made by others for the sole purpose of purchasing Equity Interests) so long as such Holdco Entity makes a capital contribution of the proceeds of any such purchase of Equity Interests to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loans and advances to any Holdco Entity to the extent that the Company may make Restricted Payments, directly or indirectly, to any Holdco Entity pursuant to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(and in lieu of making such Restricted Payments);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intercompany loans and advances shall be unsecured and expressly subordinated in right of payment to the Obligations in accordance with the Agreed Subordination Principles and (ii) the aggregate outstanding amount of any such loans or advances incurred in reliance on this clause (g) in lieu of such Restricted Payments shall reduce availability under the applicable Restricted Payment baskets under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receivables arising and trade credit granted in the ordinary course of business and any securities received in satisfaction or partial satisfaction thereof from account debtors to the extent reasonably necessary in order to prevent or limit loss and any prepayment and other credits, deposits or pledges (which deposits and pledges are not otherwise prohibited by this Agreement) to suppliers made in the ordinary course of business;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by the Company or any Restricted Subsidiary as a result of non-cash consideration received in connection with Dispositions of assets made in compliance with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6.04(i)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Guaranty Obligations permitted by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6.04(j)</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Capital Expenditures made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31" w:name="page232"/>
    <w:bookmarkEnd w:id="231"/>
    <w:p>
      <w:pPr>
        <w:ind w:left="1300" w:hanging="644"/>
        <w:spacing w:after="0"/>
        <w:tabs>
          <w:tab w:leader="none" w:pos="13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Swap Agreements maintained in accordance with </w:t>
      </w:r>
      <w:r>
        <w:rPr>
          <w:rFonts w:ascii="Times New Roman" w:cs="Times New Roman" w:eastAsia="Times New Roman" w:hAnsi="Times New Roman"/>
          <w:sz w:val="22"/>
          <w:szCs w:val="22"/>
          <w:u w:val="single" w:color="auto"/>
          <w:color w:val="auto"/>
        </w:rPr>
        <w:t>Section 6.01(f)</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as a result of the receipt of non-cash consideration in the settlement of any litigation or claims;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Restricted Subsidiaries may hold Investments to the extent such Investments are otherwise permitted hereunder and reflect an increase in the value thereof;</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funded with the proceeds of, or made in exchange for, the issuance of (or contributions in respect of) Qualified Equity Interests of the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in connection with reorganizations and tax planning, provided that the Administrative Agent has approved of such Investments in its reasonable discretion, and (ii) by any Loan Party in any Restricted Subsidiary of the Company that is not a Loan Party consisting of the contribution of Equity Interests of any Person that is not a Loan Party;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Indebtedness permitted by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Dispositions or fundamental changes permitted by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or Restricted Payments permitted by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inventory, supplies and materials in the ordinary course of business;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the licensing of intellectual property pursuant to joint marketing arrangements with other Persons entered into in the ordinary course of business;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guarantees of leases or of other obligations not constituting Indebtedness of the Company and/or its Restricted Subsidiaries;</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unfunded pension fund and other employee benefit plan obligations and liabilities to the extent that the same are permitted to remain unfunded under applicable Requirements of Law;</w:t>
      </w:r>
    </w:p>
    <w:p>
      <w:pPr>
        <w:spacing w:after="0" w:line="150"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made (i) by the Company or any Restricted Subsidiary in the Company or any Guarantor that is a Domestic Subsidiary or a Foreign Subsidiary Borrower, (ii) by the Company or any Guarantor in the Company’s Foreign Subsidiaries (other than Foreign Subsidiary Borrowers to the extent included in the foregoing clause (i)) or any Domestic Subsidiary that is not a Guarantor in an aggregate outstanding amount for all such Investments described in this </w:t>
      </w:r>
      <w:r>
        <w:rPr>
          <w:rFonts w:ascii="Times New Roman" w:cs="Times New Roman" w:eastAsia="Times New Roman" w:hAnsi="Times New Roman"/>
          <w:sz w:val="21"/>
          <w:szCs w:val="21"/>
          <w:u w:val="single" w:color="auto"/>
          <w:color w:val="auto"/>
        </w:rPr>
        <w:t>clause (v)(ii)</w:t>
      </w:r>
      <w:r>
        <w:rPr>
          <w:rFonts w:ascii="Times New Roman" w:cs="Times New Roman" w:eastAsia="Times New Roman" w:hAnsi="Times New Roman"/>
          <w:sz w:val="21"/>
          <w:szCs w:val="21"/>
          <w:color w:val="auto"/>
        </w:rPr>
        <w:t xml:space="preserve"> (calculated at the time such Investment is made) not to exceed at any time the greater of (x) $60,000,000 and (y) 40% of Applicable EBITDA (without giving effect to any write-downs or write-offs thereof) without prior written consent of the Required Lenders (provided that, if the Foreign Subsidiary or Domestic Subsidiary that is not a Guarantor becomes a Loan Party and a Guarantor, the Investment in such Restricted Subsidiary shall not be deemed to be outstanding for purposes of this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and (iii) by any Restricted Subsidiary that is not a Loan Party in any Loan Party or any other Restricted Subsidiary;</w:t>
      </w:r>
    </w:p>
    <w:p>
      <w:pPr>
        <w:spacing w:after="0" w:line="149" w:lineRule="exact"/>
        <w:rPr>
          <w:rFonts w:ascii="Times New Roman" w:cs="Times New Roman" w:eastAsia="Times New Roman" w:hAnsi="Times New Roman"/>
          <w:sz w:val="21"/>
          <w:szCs w:val="21"/>
          <w:color w:val="auto"/>
        </w:rPr>
      </w:pPr>
    </w:p>
    <w:p>
      <w:pPr>
        <w:jc w:val="both"/>
        <w:ind w:firstLine="656"/>
        <w:spacing w:after="0" w:line="225" w:lineRule="auto"/>
        <w:tabs>
          <w:tab w:leader="none" w:pos="1285"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Permitted Acquisitions, provided that the aggregate consideration (including the maximum potential total amount of all deferred payment obligations (including earn-outs) as reasonably estimated by the Company and all Indebtedness assumed or incurred) paid or payable for all acquisitions of (A) the Equity Interests of any Person that does not become a Loan Party or otherwise constitutes an Excluded Subsidiary and (B) in the case of an asset acquisition, assets of any Person that are not acquired by the Company or any Loan Party (or a Person that is required to become a Loan Party), when taken together with the total consideration for all such Persons or assets so acquired in any Fiscal Year (commencing such measurement for the 2025</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32" w:name="page233"/>
    <w:bookmarkEnd w:id="232"/>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Fiscal Year on or after the Effective Date), shall not exceed $30,000,000 in any Fiscal Year without the prior written consent of the Required Lenders provided that the limitation described in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not apply to any Acquisition to the extent the Person so acquired becomes (or assets are acquired by) a Loan Party (or a Person that is required to become a Loan Party) even though such Person owns Equity Interests of Persons that are not otherwise required to become Loan Parties (or assets are acquired by Persons that are not Loan Parties) if, in the case of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not less than 90% of the Consolidated EBITDA of the Person (or assets) so acquired in such Acquisition (as reasonably estimated by the Company on the date of the definitive agreement for such Investment) is generated by Persons that are required to become Loan Parties (i.e., disregarding any Consolidated EBITDA of such Loan Parties that are not (or are not required to become) Loan Parties), (ii) Investments made as part of a Permitted Acquisition and (iii) (x) Investments of any Person (or assets) that is acquired, or of any Person merged into or consolidated or amalgamated with, the Company or any Restricted Subsidiary, in each case as part of an Investment otherwise permitted by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to the extent that such Investments were not made in contemplation of or in connection with such acquisition, merger, amalgamation or consolidation and were in existence on the date of the relevant acquisition, merger, amalgamation or consolidation and (y) any modification, replacement, renewal or extension of any Investment permitted under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above so long as no such modification, replacement, renewal or extension thereof increases the amount of such Investment except as otherwise permitted by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firstLine="656"/>
        <w:spacing w:after="0" w:line="236" w:lineRule="auto"/>
        <w:tabs>
          <w:tab w:leader="none" w:pos="129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pursuant to the Master Alliance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further Investments may be made pursuant to the Master Alliance Agreement if a Default exists or would be caused thereby;</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Specified Event of Default exists or would be caused thereby, additional Investments in Insurance Subsidiaries or Insurance Subsidiary Holding Companies (to the extent the proceeds of such Investments are reinvested in full by the applicable Insurance Subsidiary Holding Company in an Insurance Subsidiary within thirty (30) days following receipt thereof) in an outstanding amount (calculated at the time such Investment is made) not to exceed, in the aggregate at any time the greater of (i) $60,000,000 and (ii) 40% of Applicable EBITDA;</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and advances by an Insurance Subsidiary or Insurance Subsidiary Holding Company to the Company that are subordinated in right of payment to the Obligations in accordance with the Agreed Subordination Principles;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absent an Event of Default, the Company shall be permitted to make regularly scheduled payments of principal and interest of any such loans and advances that constitute short-term Indebtedness;</w:t>
      </w:r>
    </w:p>
    <w:p>
      <w:pPr>
        <w:spacing w:after="0" w:line="152" w:lineRule="exact"/>
        <w:rPr>
          <w:sz w:val="20"/>
          <w:szCs w:val="20"/>
          <w:color w:val="auto"/>
        </w:rPr>
      </w:pPr>
    </w:p>
    <w:p>
      <w:pPr>
        <w:jc w:val="both"/>
        <w:ind w:firstLine="656"/>
        <w:spacing w:after="0" w:line="219" w:lineRule="auto"/>
        <w:tabs>
          <w:tab w:leader="none" w:pos="1294"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Permitted Joint Ventures;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both before and after giving effect (including giving effect on a Pro Forma Basis) to any Investment in such Permitted Joint Venture and the Loans (if any) requested to be made in connection therewith, (x) each of the representations and warranties in the Loan Documents is true and correct in all material respects, (y) no Event of Default exists or would be caused thereby and the Company is in compliance on a Pro Forma Basis with the financial covenants set forth in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and (z) the Company was and will be able to borrow at least $5,000,000 of additional Loans,</w:t>
      </w:r>
    </w:p>
    <w:p>
      <w:pPr>
        <w:spacing w:after="0" w:line="2" w:lineRule="exact"/>
        <w:rPr>
          <w:rFonts w:ascii="Times New Roman" w:cs="Times New Roman" w:eastAsia="Times New Roman" w:hAnsi="Times New Roman"/>
          <w:sz w:val="21"/>
          <w:szCs w:val="21"/>
          <w:color w:val="auto"/>
        </w:rPr>
      </w:pPr>
    </w:p>
    <w:p>
      <w:pPr>
        <w:jc w:val="both"/>
        <w:ind w:firstLine="8"/>
        <w:spacing w:after="0" w:line="211" w:lineRule="auto"/>
        <w:tabs>
          <w:tab w:leader="none" w:pos="31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of any such Permitted Joint Venture which involves an Investment in excess of $50,000,000, the Company shall provide copies of such documents being executed or delivered in connection with such Permitted Joint Venture as may be requested by the Administrative Agent (provided that, notwithstanding the foregoing, none of the Company or any of the Restricted Subsidiaries will be required to disclose any information that the Company (in good faith) determines that (i) constitutes non-financial trade secrets or non-financial proprietary information or is otherwise commercially sensitive, (ii) disclosure to the Administrative Agent or any Lender is prohibited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33" w:name="page234"/>
    <w:bookmarkEnd w:id="233"/>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by any Requirement of Law or any binding agreement (or would otherwise cause a breach or default thereunder), (iii) is subject to attorney-client or similar privilege or constitutes attorney work product, (iv) constitutes material, non-public information within the meaning of the United States securities laws or (v) is not reasonable to provide;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Company relies on the immediately foregoing proviso for any reason, the Company shall advise the Administrative Agent thereof), (iii) the consideration (including the maximum potential total amount of all deferred payment obligations (including earn-outs) and all Indebtedness assumed or incurred as reasonably estimated by the Company in consultation with Administrative Agent on the date of execution of any definitive agreement for such Investment) paid or payable for all Permitted Joint Ventures which become effective on or after the Effective Date shall not to exceed, in the aggregate at any time outstanding (calculated at the time such Investment is made) (provided that, if the Company acquires the remaining Equity Interests of any Permitted Joint Ventures in a Permitted Acquisition and such Permitted Joint Venture becomes a Wholly-Owned Subsidiary and a Loan Party, the Investment in such Permitted Joint Venture shall not be deemed to be outstanding for purposes of this clause (iii)), the greater of (A) $112,500,000 and (B) 75% of Applicable EBITDA without the prior written consent of the Required Lenders, and (iv) if such Permitted Joint Venture is also an Acquisition, it shall also satisfy all requirements for a Permitted Acquisition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6.04(d)</w:t>
      </w:r>
      <w:r>
        <w:rPr>
          <w:rFonts w:ascii="Times New Roman" w:cs="Times New Roman" w:eastAsia="Times New Roman" w:hAnsi="Times New Roman"/>
          <w:sz w:val="22"/>
          <w:szCs w:val="22"/>
          <w:color w:val="auto"/>
        </w:rPr>
        <w:t xml:space="preserve"> above;</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(ab) so long as no Specified Event of Default exists or would be caused thereby, other Investments (calculated at the time such Investment is made) not in excess of the greater of (x) $37,500,000 and (y) 25% of Applicable EBITDA (without giving effect to any write-downs or write-offs thereof) in the aggregate at any time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or other Restricted Subsidiary acquires the Equity Interests of any Person in a Permitted Acquisition and such Person becomes a Wholly-Owned Subsidiary and a Loan Party, the Investment in such Person shall not be deemed to be outstanding for purposes of this </w:t>
      </w:r>
      <w:r>
        <w:rPr>
          <w:rFonts w:ascii="Times New Roman" w:cs="Times New Roman" w:eastAsia="Times New Roman" w:hAnsi="Times New Roman"/>
          <w:sz w:val="22"/>
          <w:szCs w:val="22"/>
          <w:u w:val="single" w:color="auto"/>
          <w:color w:val="auto"/>
        </w:rPr>
        <w:t>clause (bb)</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5" w:right="339" w:bottom="1440" w:gutter="0" w:footer="0" w:header="0"/>
        </w:sectPr>
      </w:pP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(ac)</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[reserved];</w:t>
      </w:r>
    </w:p>
    <w:p>
      <w:pPr>
        <w:spacing w:after="0" w:line="191" w:lineRule="exact"/>
        <w:rPr>
          <w:sz w:val="20"/>
          <w:szCs w:val="20"/>
          <w:color w:val="auto"/>
        </w:rPr>
      </w:pPr>
    </w:p>
    <w:p>
      <w:pPr>
        <w:sectPr>
          <w:pgSz w:w="11900" w:h="16838" w:orient="portrait"/>
          <w:cols w:equalWidth="0" w:num="2">
            <w:col w:w="1000" w:space="300"/>
            <w:col w:w="9940"/>
          </w:cols>
          <w:pgMar w:left="320" w:top="1395" w:right="339" w:bottom="1440" w:gutter="0" w:footer="0" w:header="0"/>
          <w:type w:val="continuous"/>
        </w:sectPr>
      </w:pPr>
    </w:p>
    <w:p>
      <w:pPr>
        <w:ind w:left="660"/>
        <w:spacing w:after="0"/>
        <w:tabs>
          <w:tab w:leader="none" w:pos="1280" w:val="left"/>
        </w:tabs>
        <w:rPr>
          <w:sz w:val="20"/>
          <w:szCs w:val="20"/>
          <w:color w:val="auto"/>
        </w:rPr>
      </w:pPr>
      <w:r>
        <w:rPr>
          <w:rFonts w:ascii="Times New Roman" w:cs="Times New Roman" w:eastAsia="Times New Roman" w:hAnsi="Times New Roman"/>
          <w:sz w:val="21"/>
          <w:szCs w:val="21"/>
          <w:color w:val="auto"/>
        </w:rPr>
        <w:t>(ad)</w:t>
        <w:tab/>
        <w:t>other Investments so long as at the time of making such Investment and immediately after giving effect (including</w:t>
      </w:r>
    </w:p>
    <w:p>
      <w:pPr>
        <w:sectPr>
          <w:pgSz w:w="11900" w:h="16838" w:orient="portrait"/>
          <w:cols w:equalWidth="0" w:num="1">
            <w:col w:w="11240"/>
          </w:cols>
          <w:pgMar w:left="320" w:top="1395" w:right="339" w:bottom="1440" w:gutter="0" w:footer="0" w:header="0"/>
          <w:type w:val="continuous"/>
        </w:sectPr>
      </w:pPr>
    </w:p>
    <w:p>
      <w:pPr>
        <w:spacing w:after="0" w:line="4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2"/>
          <w:szCs w:val="22"/>
          <w:color w:val="auto"/>
        </w:rPr>
        <w:t>giving effect on a Pro Forma Basis) thereto, (i) no Specified Event of Default then exists or would result therefrom and (ii) the Net Leverage Ratio is not greater than 3.25 to 1.00;</w:t>
      </w:r>
    </w:p>
    <w:p>
      <w:pPr>
        <w:spacing w:after="0" w:line="15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(ae) other Investments in an amount not to exceed the Available Amount immediately prior to the time of the making of such Investment, so long as at the time of making such Investment and immediately after giving effect (including giving effect on a Pro Forma Basis) thereto, (i) no Event of Default then exists or would result therefrom and (ii) the Company is in compliance on a Pro Forma Basis with the financial covenant set forth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(af) Guaranty Obligations in respect of the obligations of the Company or any Restricted Subsidiary under any Swap Agreement permitted under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xml:space="preserve"> and entered into in the ordinary course of business to hedge or mitigate foreign currency risks to which the Company or such Restricted Subsidiary has actual exposure;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amount of all such Guaranty Obligations of the Loan Parties that are secured by a Lien (calculated at the time such Guaranty Obligations are incurred) shall not exceed at any time outstanding the greater of (x) $60,000,000 and (y) 40% of Applicable EBITDA;</w:t>
      </w:r>
    </w:p>
    <w:p>
      <w:pPr>
        <w:spacing w:after="0" w:line="15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(ag) Guaranty Obligations in respect of Indebtedness owing by Permitted Joint Ventures in an aggregate outstanding amount (calculated at the time such Guaranty Obligations are incurred) not to exceed at any time the greater of (x) $30,000,000 and (y) 20% of Applicable EBITDA;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type w:val="continuous"/>
        </w:sectPr>
      </w:pPr>
    </w:p>
    <w:bookmarkStart w:id="234" w:name="page235"/>
    <w:bookmarkEnd w:id="234"/>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(ah) Guaranty Obligations incurred or assumed in the ordinary course of business in respect of any Disposition made by a Restricted Subsidiary in the ordinary course of business in an aggregate outstanding amount (calculated at the time such Guaranty Obligations are incurred) not to exceed at any time the greater of (x) $60,000,000 and (y) 40% of Applicable EBITDA;</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(ai) in the case of any Insurance Subsidiary, Investments made by such Insurance Subsidiary so long as such Investment is made (i) in compliance with all Requirements of Law applicable to such Insurance Subsidiary, and (ii) approved by the board of directors (or applicable authority thereof) of such Insurance Subsidiary or the Company, as the case may be;</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(aj) (i) Investments constituting Dispositions permitted under </w:t>
      </w:r>
      <w:r>
        <w:rPr>
          <w:rFonts w:ascii="Times New Roman" w:cs="Times New Roman" w:eastAsia="Times New Roman" w:hAnsi="Times New Roman"/>
          <w:sz w:val="21"/>
          <w:szCs w:val="21"/>
          <w:u w:val="single" w:color="auto"/>
          <w:color w:val="auto"/>
        </w:rPr>
        <w:t>Section 6.03(a)(xxvi)</w:t>
      </w:r>
      <w:r>
        <w:rPr>
          <w:rFonts w:ascii="Times New Roman" w:cs="Times New Roman" w:eastAsia="Times New Roman" w:hAnsi="Times New Roman"/>
          <w:sz w:val="21"/>
          <w:szCs w:val="21"/>
          <w:color w:val="auto"/>
        </w:rPr>
        <w:t xml:space="preserve">, (ii) loans or advances made by any Securitization Seller to any Securitization SPE for the purchase price of the applicable Permitted Securitization Facility Assets in connection with any Permitted Securitization Facility;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outstanding principal amount of all such loans and advances made by Securitization Sellers in reliance on this </w:t>
      </w:r>
      <w:r>
        <w:rPr>
          <w:rFonts w:ascii="Times New Roman" w:cs="Times New Roman" w:eastAsia="Times New Roman" w:hAnsi="Times New Roman"/>
          <w:sz w:val="21"/>
          <w:szCs w:val="21"/>
          <w:u w:val="single" w:color="auto"/>
          <w:color w:val="auto"/>
        </w:rPr>
        <w:t>clause (jj)(ii)</w:t>
      </w:r>
      <w:r>
        <w:rPr>
          <w:rFonts w:ascii="Times New Roman" w:cs="Times New Roman" w:eastAsia="Times New Roman" w:hAnsi="Times New Roman"/>
          <w:sz w:val="21"/>
          <w:szCs w:val="21"/>
          <w:color w:val="auto"/>
        </w:rPr>
        <w:t xml:space="preserve"> shall not at any time exceed an amount (calculated at the time such Investment is made) equal to the sum of (x) the greater of (I) $11,250,000 and (II) 7.5% of Applicable EBITDA,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(y) 20% of the aggregate outstanding principal amount of all loans constituting Permitted Securitization Facility Assets, (iii) any Investment by any Securitization Seller or Securitization SPE of Permitted Receivables Facility Assets to the extent permitted or required pursuant to the applicable Permitted Securitization Facility Documents, (iv) any other Investments by a Securitization SPE to the extent permitted or required under the applicable Permitted Securitization Facility Documents, (v) to the extent constituting an Investment, Standard Securitization Undertakings and (vi) any capital contribution by a BAG Entity to a Securitization SPE, provided such Securitization SPE makes a cash dividend to such BAG Entity in an amount equal to at least the cash proceeds of such capital contribution within ten Business Days of receipt thereof; and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(ak)</w:t>
        <w:tab/>
        <w:t>BAG Loans and BAG Guarantees, in each case, incurred in the ordinary course of business;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the amount of any Investment outstanding at any time shall be the total of (x) the original cost of such Investment (meaning the cash amount thereof, if in cash, or the fair market value thereof as determined by the management of the Company, if in property), without any adjustment for increases or decreases in value or any write-up or write-down with respect to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Investment in the form of guarantees shall be valued at the reasonably expected liability thereof, minus (y) an amount equal to the lesser of the return of cash with respect to any such Investment, the repayment, prepayment or return in the case of any deposit, loan, advance, or other extension of credit and the termination or cancellation of any guarantee and the initial amount of such Investment.</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Agreement to the contrary, for purposes of the definition of “Unrestricted Subsidiary” and the covenants described under Section 5.12 and under this Section 6.04: (x) “Investments” shall include the portion (proportionate to the Company’s or the applicable Restricted Subsidiary’s Equity Interest in such Subsidiary) of the fair market value of the net assets of a Subsidiary at the time that such Subsidiary is designated an Unrestricted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upon a re-designation of such Subsidiary as a Restricted Subsidiary, the Company (or the applicable Restricted Subsidiary owning such re-designated Subsidiary) shall be deemed to continue to have a permanent “Investment” in an Unrestricted Subsidiary in an amount (if positive) equal to (A) the Company’s or such Restricted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35" w:name="page236"/>
    <w:bookmarkEnd w:id="235"/>
    <w:p>
      <w:pPr>
        <w:jc w:val="both"/>
        <w:spacing w:after="0" w:line="256" w:lineRule="auto"/>
        <w:rPr>
          <w:sz w:val="20"/>
          <w:szCs w:val="20"/>
          <w:color w:val="auto"/>
        </w:rPr>
      </w:pPr>
      <w:r>
        <w:rPr>
          <w:rFonts w:ascii="Times New Roman" w:cs="Times New Roman" w:eastAsia="Times New Roman" w:hAnsi="Times New Roman"/>
          <w:sz w:val="22"/>
          <w:szCs w:val="22"/>
          <w:color w:val="auto"/>
        </w:rPr>
        <w:t>Subsidiary’s “Investment” in such Subsidiary at the time of such re-designation, less (B) the portion (proportionate to the Company’s or the applicable Restricted Subsidiary’s Equity Interest in such Subsidiary) of the fair market value of the net assets of such Subsidiary at the time of such re-designation; and (y) any property transferred to or from an Unrestricted Subsidiary shall be valued at its fair market value at the time of such transfer.</w:t>
      </w:r>
    </w:p>
    <w:p>
      <w:pPr>
        <w:spacing w:after="0" w:line="14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Swap Agreements</w:t>
      </w:r>
      <w:r>
        <w:rPr>
          <w:rFonts w:ascii="Times New Roman" w:cs="Times New Roman" w:eastAsia="Times New Roman" w:hAnsi="Times New Roman"/>
          <w:sz w:val="22"/>
          <w:szCs w:val="22"/>
          <w:color w:val="auto"/>
        </w:rPr>
        <w:t>. The Company will not, and will not permit any of its Restricted Subsidiaries to, enter into any Swap Agreement, except (a) Swap Agreements entered into to hedge or mitigate risks to which the Company or any Restricted Subsidiary has actual exposure (other than those in respect of Equity Interests of the Company or any of its Subsidiaries), including to hedge or mitigate foreign currency risks and (b) Swap Agreements entered into in order to effectively cap, collar or exchange interest rates (from fixed to floating rates, from one floating rate to another floating rate or otherwise) with respect to any interest-bearing liability or investment of the Company or any Restricted Subsidiary.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The Company will not, and will not permit any of its Restricted Subsidiaries to, declare or make any Restricted Payment, except:</w:t>
      </w:r>
    </w:p>
    <w:p>
      <w:pPr>
        <w:spacing w:after="0" w:line="150" w:lineRule="exact"/>
        <w:rPr>
          <w:sz w:val="20"/>
          <w:szCs w:val="20"/>
          <w:color w:val="auto"/>
        </w:rPr>
      </w:pPr>
    </w:p>
    <w:p>
      <w:pPr>
        <w:ind w:firstLine="656"/>
        <w:spacing w:after="0" w:line="236" w:lineRule="auto"/>
        <w:tabs>
          <w:tab w:leader="none" w:pos="129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may declare and make Restricted Payments with respect to its Equity Interests payable solely in additional shares of its Qualified Equity Interests or with the Equity Interests or other securities of Unrestricted Subsidiaries;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Subsidiaries may declare and pay dividends with respect to their Equity Interests (and, in the case of a non-Wholly-Owned Subsidiary, based on the relative ownership interests or, in greater proportion in the case of payments to the Company or any of its Restricted Subsidiaries);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Securitization SPE may declare and pay dividends or other distributions to the Company or any Wholly-Owned Subsidiary thereof or (ii) distributions or payments of Securitization Fees and sales, contributions, distributions and other transfers of Permitted Securitization Facility Assets and purchases of Permitted Securitization Facility Assets, in each case, in connection with a Permitted Securitization Facility to the extent permitted or required by the terms of the applicable Permitted Securitization Facility Documents;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in exchange for, or funded out of the proceeds of, the sale or contribution in respect of Qualified Equity Interests of the Company;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consisting of Permitted Intercompany Activities;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make Restricted Payments constituting fixed dividend payments in respect of Disqualified Equity Interests, to the extent such Disqualified Equity Interests constitutes Indebtedness and were incurred in compliance with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6.06(g)</w:t>
      </w:r>
      <w:r>
        <w:rPr>
          <w:rFonts w:ascii="Times New Roman" w:cs="Times New Roman" w:eastAsia="Times New Roman" w:hAnsi="Times New Roman"/>
          <w:sz w:val="22"/>
          <w:szCs w:val="22"/>
          <w:color w:val="auto"/>
        </w:rPr>
        <w:t>) and such Restricted Payments are included in the calculation of Consolidated Interest Expense;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dividends or distributions on the Equity Interests of the Company (or, in the case of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below, the issuance of, or cash payments on, promissory notes issued in accordance with </w:t>
      </w:r>
      <w:r>
        <w:rPr>
          <w:rFonts w:ascii="Times New Roman" w:cs="Times New Roman" w:eastAsia="Times New Roman" w:hAnsi="Times New Roman"/>
          <w:sz w:val="22"/>
          <w:szCs w:val="22"/>
          <w:u w:val="single" w:color="auto"/>
          <w:color w:val="auto"/>
        </w:rPr>
        <w:t>Section 6.01(m)</w:t>
      </w:r>
      <w:r>
        <w:rPr>
          <w:rFonts w:ascii="Times New Roman" w:cs="Times New Roman" w:eastAsia="Times New Roman" w:hAnsi="Times New Roman"/>
          <w:sz w:val="22"/>
          <w:szCs w:val="22"/>
          <w:color w:val="auto"/>
        </w:rPr>
        <w:t>) issued or paid solely for the purpose of funding the following: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36" w:name="page237"/>
    <w:bookmarkEnd w:id="236"/>
    <w:p>
      <w:pPr>
        <w:jc w:val="both"/>
        <w:ind w:left="4" w:firstLine="644"/>
        <w:spacing w:after="0" w:line="215" w:lineRule="auto"/>
        <w:tabs>
          <w:tab w:leader="none" w:pos="1288"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is a pass-through entity or files a consolidated, combined, unitary or similar type tax return with any Holdco Entity or any direct or indirect holders of Equity Interests in the Company, any Tax Distribution Amount for Taxes then due and payable; provided that, the Tax Distribution Amount made in respect of the income of an Unrestricted Subsidiary will be permitted only to the extent that the portion of such Tax Distribution Amount was contributed in cash by such Unrestricted Subsidiary to Company or any Restricted Subsidiary for such purpose;</w:t>
      </w:r>
    </w:p>
    <w:p>
      <w:pPr>
        <w:spacing w:after="0" w:line="152" w:lineRule="exact"/>
        <w:rPr>
          <w:rFonts w:ascii="Times New Roman" w:cs="Times New Roman" w:eastAsia="Times New Roman" w:hAnsi="Times New Roman"/>
          <w:sz w:val="22"/>
          <w:szCs w:val="22"/>
          <w:color w:val="auto"/>
        </w:rPr>
      </w:pPr>
    </w:p>
    <w:p>
      <w:pPr>
        <w:ind w:left="4" w:firstLine="644"/>
        <w:spacing w:after="0" w:line="236" w:lineRule="auto"/>
        <w:tabs>
          <w:tab w:leader="none" w:pos="1294"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organizational, operating and other transaction costs and expenses (including overhead and administrative costs and expenses, professional fees and Public Company Costs) of any Holdco Entity;</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12" w:lineRule="auto"/>
        <w:tabs>
          <w:tab w:leader="none" w:pos="130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redemption, purchase or other acquisition or retirement for value by any Holdco Entity of its Equity Interests from current or former directors, officers, employees, managers and consultants of the Company, any Restricted Subsidiary or any Holdco Entity (or, in each case, their respective spouses, former spouses, domestic partners, former domestic partners, successors, executors, administrators, heirs, legatees or distributees) and the issuance of, and the payments on, promissory notes issued in respect of such redemption, purchase or other acquisition for retirement;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amount of such cash dividends or distributions in any Fiscal Year shall not exceed in the aggregate an amount equal to $2,000,000, plus unused amounts from the previous two Fiscal Years;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amounts carried forward from previous Fiscal Years shall be deemed utilized first;</w:t>
      </w:r>
    </w:p>
    <w:p>
      <w:pPr>
        <w:spacing w:after="0" w:line="156" w:lineRule="exact"/>
        <w:rPr>
          <w:rFonts w:ascii="Times New Roman" w:cs="Times New Roman" w:eastAsia="Times New Roman" w:hAnsi="Times New Roman"/>
          <w:sz w:val="22"/>
          <w:szCs w:val="22"/>
          <w:color w:val="auto"/>
        </w:rPr>
      </w:pPr>
    </w:p>
    <w:p>
      <w:pPr>
        <w:jc w:val="both"/>
        <w:ind w:left="4" w:firstLine="644"/>
        <w:spacing w:after="0" w:line="213" w:lineRule="auto"/>
        <w:tabs>
          <w:tab w:leader="none" w:pos="1288"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finance any Investment permitted under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6.06(h)(iv)</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any Restricted Payments under this </w:t>
      </w:r>
      <w:r>
        <w:rPr>
          <w:rFonts w:ascii="Times New Roman" w:cs="Times New Roman" w:eastAsia="Times New Roman" w:hAnsi="Times New Roman"/>
          <w:sz w:val="22"/>
          <w:szCs w:val="22"/>
          <w:u w:val="single" w:color="auto"/>
          <w:color w:val="auto"/>
        </w:rPr>
        <w:t>clause (h)(iv)</w:t>
      </w:r>
      <w:r>
        <w:rPr>
          <w:rFonts w:ascii="Times New Roman" w:cs="Times New Roman" w:eastAsia="Times New Roman" w:hAnsi="Times New Roman"/>
          <w:sz w:val="22"/>
          <w:szCs w:val="22"/>
          <w:color w:val="auto"/>
        </w:rPr>
        <w:t xml:space="preserve"> shall be made substantially concurrently with the closing of such Investment and (y) any Holdco Entity shall, promptly following the closing thereof, cause (A) all property acquired to be contributed to the Company or to any Restricted Subsidiary or (B) the merger, consolidation or amalgamation of the Person formed or acquired into the Company or to any Restricted Subsidiary in order to consummate such permitted Investment in compliance with the applicable requirements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as if undertaken as a direct permitted Investment by the Company or such Restricted Subsidiary);</w:t>
      </w:r>
    </w:p>
    <w:p>
      <w:pPr>
        <w:spacing w:after="0" w:line="156"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5"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Restricted Payments to a Holdco Entity to permit it to pay cash in lieu of fractional shares in connection with any exercise of warrants, options, or other securities convertible into or exchangeable for Equity Interests of a Holdco Entity or in connection with any other dividend, split or combination thereof or any Permitted Acquisition, in each case, otherwise permitted hereunder; or</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288"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which shall be used by the Company to pay (or to make Restricted Payments to allow any direct or indirect parent thereof to pay) fees and expenses (other than to Affiliates) related to any equity or debt offering, financing transaction, acquisition, divestiture, Investment or other non-ordinary course transaction not prohibited by this Agreement (whether or not successful); provided that any such transaction is intended to be solely for the benefit of the Company and its Restricted Subsidiaries.</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consisting solely of Qualified Equity Interests of the Company;</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319405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95" w:right="339" w:bottom="1440" w:gutter="0" w:footer="0" w:header="0"/>
        </w:sectPr>
      </w:pPr>
    </w:p>
    <w:bookmarkStart w:id="237" w:name="page238"/>
    <w:bookmarkEnd w:id="237"/>
    <w:p>
      <w:pPr>
        <w:ind w:left="1300" w:hanging="644"/>
        <w:spacing w:after="0"/>
        <w:tabs>
          <w:tab w:leader="none" w:pos="13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declare and pay Permitted LLC Distributions;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make Restricted Payments with respect to its Equity Interests other than those payments referenced above in this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if each of the following conditions is satisfied: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and after giving effect to such Restricted Payment, on a Pro Forma Basis, no Default exists or would be caused thereby;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date of such Restricted Payment, Company is at least 0.50x below the then applicable Net Leverage Ratio set forth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 xml:space="preserve"> determined on a Pro Forma Basis both before and immediately after giving effect to such Restricted Payment;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Restricted Payments in an amount not to exceed the Available Amount immediately prior to the time of the making of such Restricted Payment, so long as at the time of making such Restricted Payment and immediately after giving effect (including giving effect on a Pro Forma Basis) thereto, (i) no Event of Default then exists or would result therefrom, and (ii) the Company is in compliance on a Pro Forma Basis with the financial covenant set forth in Section 6.13(a).</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the Company acknowledges and agrees that, in addition to, and without limiting, any other rights and remedies of the Administrative Agent, upon the occurrence and during the continuance of any Event of Default, upon the request of the Administrative Agent or the Required Lenders, the Company will (subject to Requirements of Law) promptly cause each Insurance Subsidiary to pay to a Loan Party the maximum amount of Permitted Insurance Subsidiary Dividends (if any) in respect of such Insurance Subsidiary.</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The Company will not, and will not permit any of its Restricted Subsidiaries to, sell, lease or otherwise transfer any property or assets to, or purchase, lease or otherwise acquire any property or assets from, or otherwise engage in any other transactions with, any of its Affiliates, except:</w:t>
      </w:r>
    </w:p>
    <w:p>
      <w:pPr>
        <w:spacing w:after="0" w:line="152" w:lineRule="exact"/>
        <w:rPr>
          <w:sz w:val="20"/>
          <w:szCs w:val="20"/>
          <w:color w:val="auto"/>
        </w:rPr>
      </w:pPr>
    </w:p>
    <w:p>
      <w:pPr>
        <w:ind w:left="1300" w:hanging="644"/>
        <w:spacing w:after="0"/>
        <w:tabs>
          <w:tab w:leader="none" w:pos="13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the ordinary course of business;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at prices and on terms and conditions not less favorable to the Company or such Restricted Subsidiary than could be obtained on an arm’s-length basis from unrelated third-parties;</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Company and/or its Restricted Subsidiaries permitted or not restricted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permitted by </w:t>
      </w:r>
      <w:r>
        <w:rPr>
          <w:rFonts w:ascii="Times New Roman" w:cs="Times New Roman" w:eastAsia="Times New Roman" w:hAnsi="Times New Roman"/>
          <w:sz w:val="22"/>
          <w:szCs w:val="22"/>
          <w:u w:val="single" w:color="auto"/>
          <w:color w:val="auto"/>
        </w:rPr>
        <w:t>Section 6.06</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6.07(d)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severance, termination, expense reimbursement and indemnity arrangements between the Company or any Restricted Subsidiary on the one hand and any of their and any Holdco Entities’ respective directors, officers, employees, managers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38" w:name="page239"/>
    <w:bookmarkEnd w:id="238"/>
    <w:p>
      <w:pPr>
        <w:jc w:val="both"/>
        <w:spacing w:after="0" w:line="220" w:lineRule="auto"/>
        <w:rPr>
          <w:sz w:val="20"/>
          <w:szCs w:val="20"/>
          <w:color w:val="auto"/>
        </w:rPr>
      </w:pPr>
      <w:r>
        <w:rPr>
          <w:rFonts w:ascii="Times New Roman" w:cs="Times New Roman" w:eastAsia="Times New Roman" w:hAnsi="Times New Roman"/>
          <w:sz w:val="22"/>
          <w:szCs w:val="22"/>
          <w:color w:val="auto"/>
        </w:rPr>
        <w:t>consultants (including management and employee benefit plans or agreements, subscription agreements or similar agreements pertaining to the grant, purchases or repurchase of Equity Interests pursuant to put/call rights or similar rights with current or former directors, officers, employees, managers and consultants and stock option or incentive plans and other compensation arrangements) on the other hand in the ordinary course of business or otherwise permitted under this Agreement;</w:t>
      </w:r>
    </w:p>
    <w:p>
      <w:pPr>
        <w:spacing w:after="0" w:line="152" w:lineRule="exact"/>
        <w:rPr>
          <w:sz w:val="20"/>
          <w:szCs w:val="20"/>
          <w:color w:val="auto"/>
        </w:rPr>
      </w:pPr>
    </w:p>
    <w:p>
      <w:pPr>
        <w:ind w:right="20" w:firstLine="656"/>
        <w:spacing w:after="0" w:line="255" w:lineRule="auto"/>
        <w:tabs>
          <w:tab w:leader="none" w:pos="1296"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transactions pursuant to permitted agreements in existence on the Effective Date and set forth on </w:t>
      </w:r>
      <w:r>
        <w:rPr>
          <w:rFonts w:ascii="Times New Roman" w:cs="Times New Roman" w:eastAsia="Times New Roman" w:hAnsi="Times New Roman"/>
          <w:sz w:val="21"/>
          <w:szCs w:val="21"/>
          <w:u w:val="single" w:color="auto"/>
          <w:color w:val="auto"/>
        </w:rPr>
        <w:t>Schedule 6.07</w:t>
      </w:r>
      <w:r>
        <w:rPr>
          <w:rFonts w:ascii="Times New Roman" w:cs="Times New Roman" w:eastAsia="Times New Roman" w:hAnsi="Times New Roman"/>
          <w:sz w:val="21"/>
          <w:szCs w:val="21"/>
          <w:color w:val="auto"/>
        </w:rPr>
        <w:t xml:space="preserve"> or any amendment thereto to the extent such an amendment, taken as a whole, is not adverse to the Lenders in any material respect;</w:t>
      </w:r>
    </w:p>
    <w:p>
      <w:pPr>
        <w:spacing w:after="0" w:line="134" w:lineRule="exact"/>
        <w:rPr>
          <w:rFonts w:ascii="Times New Roman" w:cs="Times New Roman" w:eastAsia="Times New Roman" w:hAnsi="Times New Roman"/>
          <w:sz w:val="21"/>
          <w:szCs w:val="21"/>
          <w:color w:val="auto"/>
        </w:rPr>
      </w:pPr>
    </w:p>
    <w:p>
      <w:pPr>
        <w:ind w:firstLine="656"/>
        <w:spacing w:after="0" w:line="236" w:lineRule="auto"/>
        <w:tabs>
          <w:tab w:leader="none" w:pos="129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customary director compensation and expense reimbursements, including fees and expenses of directors and advisors of any Holdco Entity;</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issuance of securities or rights pursuant to stock options, stock ownership plans (including restricted stock plans), stock grants, directed share programs and other equity based incentive plans and (ii) the execution, delivery and performance of any stockholder or registration rights agreement approved by the board of directors (or other appropriate governing body) of the Company or any Holdco Entity;</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Restricted Subsidiary may enter into any indemnification agreement or any similar arrangement with directors, officers, employees, managers and consultants of the Company or any Restricted Subsidiary (or any Holdco Entity) in the ordinary course of business and may pay fees and indemnities to directors, officers, consultants and employees of the Company or any Restricted Subsidiary (or any Holdco Entity)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purchase by the Company of Equity Interests of its Restricted Subsidiaries or (ii) any contribution by the Company to the equity capital of its Restricted Subsidiaries (whether directly or indirectly) to the extent permitted under Section 6.04 (other than by reference to this </w:t>
      </w:r>
      <w:r>
        <w:rPr>
          <w:rFonts w:ascii="Times New Roman" w:cs="Times New Roman" w:eastAsia="Times New Roman" w:hAnsi="Times New Roman"/>
          <w:sz w:val="22"/>
          <w:szCs w:val="22"/>
          <w:u w:val="single" w:color="auto"/>
          <w:color w:val="auto"/>
        </w:rPr>
        <w:t>Section 6.07(j)</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a transaction with an Affiliate, any payments permitted by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(other than by reference to this </w:t>
      </w:r>
      <w:r>
        <w:rPr>
          <w:rFonts w:ascii="Times New Roman" w:cs="Times New Roman" w:eastAsia="Times New Roman" w:hAnsi="Times New Roman"/>
          <w:sz w:val="22"/>
          <w:szCs w:val="22"/>
          <w:u w:val="single" w:color="auto"/>
          <w:color w:val="auto"/>
        </w:rPr>
        <w:t>Section 6.07(e)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by the Company or any Restricted Subsidiary of Equity Interests in accordance with the organizational documents of such Person</w:t>
      </w:r>
      <w:r>
        <w:rPr>
          <w:rFonts w:ascii="Times New Roman" w:cs="Times New Roman" w:eastAsia="Times New Roman" w:hAnsi="Times New Roman"/>
          <w:sz w:val="22"/>
          <w:szCs w:val="22"/>
          <w:u w:val="single" w:color="auto"/>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contemplated by the Master Alliance Agreement;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Intercompany Activities; and</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under </w:t>
      </w:r>
      <w:r>
        <w:rPr>
          <w:rFonts w:ascii="Times New Roman" w:cs="Times New Roman" w:eastAsia="Times New Roman" w:hAnsi="Times New Roman"/>
          <w:sz w:val="22"/>
          <w:szCs w:val="22"/>
          <w:u w:val="single" w:color="auto"/>
          <w:color w:val="auto"/>
        </w:rPr>
        <w:t>Section 6.03(a)(xxvi)</w:t>
      </w:r>
      <w:r>
        <w:rPr>
          <w:rFonts w:ascii="Times New Roman" w:cs="Times New Roman" w:eastAsia="Times New Roman" w:hAnsi="Times New Roman"/>
          <w:sz w:val="22"/>
          <w:szCs w:val="22"/>
          <w:color w:val="auto"/>
        </w:rPr>
        <w:t xml:space="preserve">, Investments permitted under </w:t>
      </w:r>
      <w:r>
        <w:rPr>
          <w:rFonts w:ascii="Times New Roman" w:cs="Times New Roman" w:eastAsia="Times New Roman" w:hAnsi="Times New Roman"/>
          <w:sz w:val="22"/>
          <w:szCs w:val="22"/>
          <w:u w:val="single" w:color="auto"/>
          <w:color w:val="auto"/>
        </w:rPr>
        <w:t>Section 6.04(jj)</w:t>
      </w:r>
      <w:r>
        <w:rPr>
          <w:rFonts w:ascii="Times New Roman" w:cs="Times New Roman" w:eastAsia="Times New Roman" w:hAnsi="Times New Roman"/>
          <w:sz w:val="22"/>
          <w:szCs w:val="22"/>
          <w:color w:val="auto"/>
        </w:rPr>
        <w:t xml:space="preserve"> and Standard Securitization Undertakings.</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Restrictive Agreements</w:t>
      </w:r>
      <w:r>
        <w:rPr>
          <w:rFonts w:ascii="Times New Roman" w:cs="Times New Roman" w:eastAsia="Times New Roman" w:hAnsi="Times New Roman"/>
          <w:sz w:val="22"/>
          <w:szCs w:val="22"/>
          <w:color w:val="auto"/>
        </w:rPr>
        <w:t>. The Company will not, and will not permit any of its Restricted Subsidiaries to, directly or indirectly, enter into, incur or permit to exist 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39" w:name="page240"/>
    <w:bookmarkEnd w:id="239"/>
    <w:p>
      <w:pPr>
        <w:spacing w:after="0" w:line="216" w:lineRule="auto"/>
        <w:rPr>
          <w:sz w:val="20"/>
          <w:szCs w:val="20"/>
          <w:color w:val="auto"/>
        </w:rPr>
      </w:pPr>
      <w:r>
        <w:rPr>
          <w:rFonts w:ascii="Times New Roman" w:cs="Times New Roman" w:eastAsia="Times New Roman" w:hAnsi="Times New Roman"/>
          <w:sz w:val="22"/>
          <w:szCs w:val="22"/>
          <w:color w:val="auto"/>
        </w:rPr>
        <w:t>agreement or other arrangement that prohibits, restricts or imposes any condition upon (A) the ability of the Company or any Restricted Subsidiary to create, incur or permit to exist any Lien upon any of its property or assets to secure the Obligations or</w:t>
      </w:r>
    </w:p>
    <w:p>
      <w:pPr>
        <w:spacing w:after="0" w:line="1" w:lineRule="exact"/>
        <w:rPr>
          <w:sz w:val="20"/>
          <w:szCs w:val="20"/>
          <w:color w:val="auto"/>
        </w:rPr>
      </w:pPr>
    </w:p>
    <w:p>
      <w:pPr>
        <w:jc w:val="both"/>
        <w:ind w:firstLine="8"/>
        <w:spacing w:after="0" w:line="218" w:lineRule="auto"/>
        <w:tabs>
          <w:tab w:leader="none" w:pos="35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any Restricted Subsidiary to pay dividends or other distributions with respect to its Equity Interests or to make or repay loans or advances to the Company or any other Restricted Subsidiary or to Guarantee Indebtedness of the Company or any Restricted Subsidiary, except: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and conditions imposed by law, by this Agreement, by any other Loan Document or, solely with respect to the Reinsurance Subsidiary or any Restricted Subsidiary thereof, by any Reinsurance Loan Document;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limitations on Liens (other than those consisting of cash collateral provided hereunder with respect to the LC Exposure) or other restrictions on any property whose acquisition, repair, improvement or construction is financed by purchase money Indebtedness, Capital Lease Obligations or Permitted Refinancing Indebtedness permitted hereunder in reliance upon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set forth in the contractual obligations governing such Indebtedness, Capital Lease Obligations or Permitted Refinancing Indebtedness or Guaranty Obligations with respect thereto or (ii) other limitations that are or were created by virtue of any Lien granted upon, transfer of, agreement to transfer or grant of, any option or right with respect to any property, assets or Equity Interests not otherwise prohibited under this Agreement;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restricting assignments, subletting or other transfers contained in leases, subleases, licenses, sublicenses, joint venture agreements and similar agreements entered into by the Company or any Restricted Subsidiary in the ordinary course of business;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restricting assignment of, or the pledge of rights under, any agreement entered into by the Company or any Restricted Subsidiary in the ordinary course of business;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and conditions contained in any agreement relating to the Disposition of any property pending the consummation of such Disposition; provided that (i) such restrictions and conditions apply only to the property to be Disposed and (ii) such Disposition is permitted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in effect at the time such Restricted Subsidiary becomes a Restricted Subsidiary of the Company, so long as such agreement was not entered into in connection with or in contemplation of such person becoming a Restricted Subsidiary of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encumbrances or restrictions imposed by any amendments or refinancings that are otherwise permitted by the Loan Documents of the contracts, instruments or obligations referred to in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above; provided that such amendments or refinancings are no more restrictive, taken as a whole, with respect to such encumbrances and restrictions than those prior to such amendment or refinancing;</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restricting the Disposition of Intellectual Property or the assignment of licenses thereof contained in licenses entered into the ordinary course of business and in accordance with the terms 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with respect to an interest in or Restricted Payments, Investments or Dispositions by such joint venture, limited liability company, partnership or similar Person imposed by any joint venture agreement, limited liability company agreement, partnership agreement or similar organizational agreement or the Indebtedness of 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 xml:space="preserve">joint venture, limited liability company, partnership or similar Person maintained in accordance with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0" w:lineRule="auto"/>
        <w:tabs>
          <w:tab w:leader="none" w:pos="128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encumbrance or restrictions pursuant to the documentation governing any Indebtedness permitted hereunder of any Restricted Subsidiary that is not a Loan Party and (ii) any encumbrance or restrictions pursuant to the documentation governing any Indebtedness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such restrictions are not more restrictive, taken as a whole, than the terms of this Agreement and the other Loan Documents (as reasonably determined by the Company and the Administrative Agent), except as expressly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such documentation may have the benefit of terms and conditions (including financial covenants) that are more restrictive than those applicable to the Loans and Commitments outstanding hereunder at the time of execution of such documentation so long as, substantially concurrently with the effectiveness of such documentation, the Administrative Agent is offered the opportunity to amend this Agreement in a manner reasonably satisfactory to the Company and the Administrative Agent to include such more restrictive terms for the benefit of all other Commitments and Loans then outstanding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Loan Parties agree to execute any amendments or other modifications of the Loan Documents reasonably necessary to effectuate the foregoing);</w:t>
      </w:r>
    </w:p>
    <w:p>
      <w:pPr>
        <w:spacing w:after="0" w:line="151"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provisions in agreements or instruments which prohibit the payment of dividends or the making of other distributions with respect to any class of Equity Interests of a Person other than on a pro rata basis;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imposed by customary provisions to maintain cash or other deposits or minimum net worth imposed by any Person under any contract entered into by the Company or any Restricted Subsidiary in the ordinary course of business or for whose benefit such cash or other deposits or restrictions exist;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net worth or similar provisions contained in real property leases entered into by the Company or any Restricted Subsidiary in the ordinary course of business so long as the Company has reasonably determined in good faith that such net worth or similar provisions could not reasonably be expected to impair the ability of the Company or any Restricted Subsidiary to meet its ongoing obligations under the Loan Documents;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arising under or as a result of any Requirement of Law or the terms of any license, authorization, concession or permit provided by any Governmental Authority;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arising in any Swap Agreement not prohibited hereunder;</w:t>
      </w:r>
    </w:p>
    <w:p>
      <w:pPr>
        <w:spacing w:after="0" w:line="179"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1"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restrictions and conditions existing on the Effective Date identified on </w:t>
      </w:r>
      <w:r>
        <w:rPr>
          <w:rFonts w:ascii="Times New Roman" w:cs="Times New Roman" w:eastAsia="Times New Roman" w:hAnsi="Times New Roman"/>
          <w:sz w:val="21"/>
          <w:szCs w:val="21"/>
          <w:u w:val="single" w:color="auto"/>
          <w:color w:val="auto"/>
        </w:rPr>
        <w:t>Schedule 6.08</w:t>
      </w:r>
      <w:r>
        <w:rPr>
          <w:rFonts w:ascii="Times New Roman" w:cs="Times New Roman" w:eastAsia="Times New Roman" w:hAnsi="Times New Roman"/>
          <w:sz w:val="21"/>
          <w:szCs w:val="21"/>
          <w:color w:val="auto"/>
        </w:rPr>
        <w:t xml:space="preserve"> (but shall apply to any extension or renewal of, or any amendment or modification materially expanding the scope of, any such restriction or condition);</w:t>
      </w:r>
    </w:p>
    <w:p>
      <w:pPr>
        <w:spacing w:after="0" w:line="134"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restrictions and conditions contained in agreements relating to the sale of a Restricted Subsidiary or assets pending such sale, provided such restrictions and conditions apply only to the Restricted Subsidiary or assets to be sold and such sale is permitted hereunder;</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restrictions, terms and conditions contained in agreements, documents or instrument evidencing or governing the terms of any Incremental Equivalent Debt or Ratio Debt;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restrictions and conditions contained in Permitted Securitization Facility Documents;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1" w:name="page242"/>
    <w:bookmarkEnd w:id="241"/>
    <w:p>
      <w:pPr>
        <w:ind w:left="1300" w:hanging="644"/>
        <w:spacing w:after="0"/>
        <w:tabs>
          <w:tab w:leader="none" w:pos="13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(A) of the foregoing shall not apply to any restrictions on Liens permitted under Section 6.02(l); and</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those imposed by any amendment, modification, restatement, renewal, supplement, refunding, replacement or refinancing of any contract, instrument or obligation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above; provided that such amendment, modification, restatement, renewal, supplement, refunding, replacement or refinancing is, in the reasonable good faith judgment of the Company, no more restrictive with respect to such restrictions taken as a whole than those in existence prior to such amendment, modification, restatement, renewal, supplement, refunding, replacement or refinancing.</w:t>
      </w:r>
    </w:p>
    <w:p>
      <w:pPr>
        <w:spacing w:after="0" w:line="15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No Loan Party will, nor will it permit any of its Subsidiaries to, (a) be or become a “covered foreign person”, as that term is defined in the Outbound Investment Rules, or (b) engage, directly or indirectly, in (i) a “covered activity” or a “covered transaction”, as each such term is defined in the Outbound Investment Rules,</w:t>
      </w:r>
    </w:p>
    <w:p>
      <w:pPr>
        <w:spacing w:after="0" w:line="2" w:lineRule="exact"/>
        <w:rPr>
          <w:sz w:val="20"/>
          <w:szCs w:val="20"/>
          <w:color w:val="auto"/>
        </w:rPr>
      </w:pPr>
    </w:p>
    <w:p>
      <w:pPr>
        <w:jc w:val="both"/>
        <w:ind w:firstLine="8"/>
        <w:spacing w:after="0" w:line="214" w:lineRule="auto"/>
        <w:tabs>
          <w:tab w:leader="none" w:pos="32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activity or transaction that would constitute a “covered activity” or a “covered transaction”, as each such term is defined in the Outbound Investment Rules, if any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5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Amendments to Certain Agreements</w:t>
      </w:r>
      <w:r>
        <w:rPr>
          <w:rFonts w:ascii="Times New Roman" w:cs="Times New Roman" w:eastAsia="Times New Roman" w:hAnsi="Times New Roman"/>
          <w:sz w:val="22"/>
          <w:szCs w:val="22"/>
          <w:color w:val="auto"/>
        </w:rPr>
        <w:t>. The Company will not, and will not permit any of its Restricted Subsidiaries to, amend, supplement or otherwise modify (a) the Master Alliance Agreement or its articles of incorporation, charter, certificate of formation, operating agreement, by-laws or other organizational document (including all LLC Agreements) in any manner materially adverse to the Lenders or (b) any instrument, document or agreement evidencing or relating to any Incremental Equivalent Debt, any Ratio Debt or any Subordinated Debt (other than (i) any intercompany Indebtedness, (ii) as expressly permitted under the terms of any applicable intercreditor agreements (including under any Subordination Agreements) or (iii) on subordination terms thereof as otherwise agreed to by the Administrative Agent) if the effect of such amendment, supplement or modification is materially adverse to the Lenders or would not be permitted under any applicable intercreditor agreements (including under any Subordination Agreements), it being understood and agreed that no refinancing, refunding, extension, defeasance, discharge, renewal or replacement meeting the Refinancing Indebtedness Requirements would materially and adversely affect the interests of the Lenders.</w:t>
      </w:r>
    </w:p>
    <w:p>
      <w:pPr>
        <w:spacing w:after="0" w:line="15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Prepayment of Indebtedness; Subordinated Debt</w:t>
      </w:r>
      <w:r>
        <w:rPr>
          <w:rFonts w:ascii="Times New Roman" w:cs="Times New Roman" w:eastAsia="Times New Roman" w:hAnsi="Times New Roman"/>
          <w:sz w:val="22"/>
          <w:szCs w:val="22"/>
          <w:color w:val="auto"/>
        </w:rPr>
        <w:t>. The Company will not, and will not permit any of its Restricted Subsidiaries to, (x) purchase, redeem, defease, prepay or otherwise satisfy more than twelve (12) months prior to the scheduled maturity thereof any principal of, any Subordinated Debt, (y) set apart any property for such purpose, whether to a sinking fund, a similar fund or otherwise or (z) make any payment or other distribution (whether in cash, securities or other property), including any sinking fund or similar deposit, on account of the purchase, redemption, retirement, acquisition, cancellation or termination of (A) any Indebtedness owing by an Unrestricted Subsidiary or (B) any Indebtedness in violation of any intercreditor agreement (including any Subordination Agreement) or subordination terms applicable thereto (any of the foregoing, a “</w:t>
      </w:r>
      <w:r>
        <w:rPr>
          <w:rFonts w:ascii="Times New Roman" w:cs="Times New Roman" w:eastAsia="Times New Roman" w:hAnsi="Times New Roman"/>
          <w:sz w:val="22"/>
          <w:szCs w:val="22"/>
          <w:u w:val="single" w:color="auto"/>
          <w:color w:val="auto"/>
        </w:rPr>
        <w:t>Restricted Debt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and its Restricted Subsidiaries may (a) incur Permitted Refinancing Indebtedness in respect of Indebtedness of the Company or any Restricted Subsidiary that is otherwise permitted under this Agreement, (b) make regularly scheduled or otherwise required repayments or redemptions of Subordinated Debt to the extent permitted by the applicable Subordination Agreement or subordination provisions applicable thereto, (c) take such action to the extent necessary to prevent such Indebtedness from being an “applicable high yield discount obligation” within the meaning of Section 163(i) of the Code and (d) make any payments,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2" w:name="page243"/>
    <w:bookmarkEnd w:id="242"/>
    <w:p>
      <w:pPr>
        <w:jc w:val="both"/>
        <w:spacing w:after="0" w:line="215" w:lineRule="auto"/>
        <w:rPr>
          <w:sz w:val="20"/>
          <w:szCs w:val="20"/>
          <w:color w:val="auto"/>
        </w:rPr>
      </w:pPr>
      <w:r>
        <w:rPr>
          <w:rFonts w:ascii="Times New Roman" w:cs="Times New Roman" w:eastAsia="Times New Roman" w:hAnsi="Times New Roman"/>
          <w:sz w:val="22"/>
          <w:szCs w:val="22"/>
          <w:color w:val="auto"/>
        </w:rPr>
        <w:t>repayments or redemptions of any intercompany indebtedness permitted under Section 6.04(jj)(ii), (e) make any other Restricted Debt Payment so long as at the time of making such Restricted Debt Payment and immediately after giving effect (including giving effect on a Pro Forma Basis) thereto, (i) no Default or Event of Default then exists or would result therefrom and (ii) the Net Leverage Ratio does not exceed such ratio that is 0.50 to 1.00 lower than the maximum Net Leverage Ratio permitted under Section 6.13(a), (f) make Restricted Debt Payments to Loan Parties and (g) if the Restricted Subsidiary is not a Loan Party, make Restricted Debt Payments to other Restricted Subsidiaries that are not Loan Parties.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6.13</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 The Company will not:</w:t>
      </w:r>
    </w:p>
    <w:p>
      <w:pPr>
        <w:spacing w:after="0" w:line="179" w:lineRule="exact"/>
        <w:rPr>
          <w:sz w:val="20"/>
          <w:szCs w:val="20"/>
          <w:color w:val="auto"/>
        </w:rPr>
      </w:pPr>
    </w:p>
    <w:p>
      <w:pPr>
        <w:jc w:val="both"/>
        <w:ind w:firstLine="656"/>
        <w:spacing w:after="0" w:line="215" w:lineRule="auto"/>
        <w:tabs>
          <w:tab w:leader="none" w:pos="129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Leverage Ratio</w:t>
      </w:r>
      <w:r>
        <w:rPr>
          <w:rFonts w:ascii="Times New Roman" w:cs="Times New Roman" w:eastAsia="Times New Roman" w:hAnsi="Times New Roman"/>
          <w:sz w:val="22"/>
          <w:szCs w:val="22"/>
          <w:color w:val="auto"/>
        </w:rPr>
        <w:t xml:space="preserve">. Permit or suffer the Net Leverage Ratio as of the last day of any Fiscal Quarter ending on or after March 31, 2025 to exceed 3.75 to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exists at such time or would result therefrom, but not more than two (2) times during the term of this Agreement, the maximum Net Leverage Ratio permitted under this Section 6.13(a) shall be automatically increased to 4.25 to 1.00 for the period including the Fiscal Quarter in which such Material Acquisition was consummated and the four consecutive Fiscal Quarters thereafter (each such period of five consecutive fiscal quarters, an “</w:t>
      </w:r>
      <w:r>
        <w:rPr>
          <w:rFonts w:ascii="Times New Roman" w:cs="Times New Roman" w:eastAsia="Times New Roman" w:hAnsi="Times New Roman"/>
          <w:sz w:val="22"/>
          <w:szCs w:val="22"/>
          <w:u w:val="single" w:color="auto"/>
          <w:color w:val="auto"/>
        </w:rPr>
        <w:t>Adjusted Covenant Period</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Permit or suffer the Fixed Charge Coverage Ratio to be less than 1.20 to 1.0 as of the last day of any Fiscal Quarter ending on or after March 31, 2025.</w:t>
      </w:r>
    </w:p>
    <w:p>
      <w:pPr>
        <w:spacing w:after="0" w:line="1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w:t>
      </w:r>
    </w:p>
    <w:p>
      <w:pPr>
        <w:ind w:left="454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If any of the following events (“</w:t>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shall occur:</w:t>
      </w:r>
    </w:p>
    <w:p>
      <w:pPr>
        <w:spacing w:after="0" w:line="179" w:lineRule="exact"/>
        <w:rPr>
          <w:sz w:val="20"/>
          <w:szCs w:val="20"/>
          <w:color w:val="auto"/>
        </w:rPr>
      </w:pPr>
    </w:p>
    <w:p>
      <w:pPr>
        <w:jc w:val="both"/>
        <w:ind w:firstLine="656"/>
        <w:spacing w:after="0" w:line="225" w:lineRule="auto"/>
        <w:tabs>
          <w:tab w:leader="none" w:pos="129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Borrower shall fail to pay any interest on any Loan or any fee or any other amount (other than an amount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payable under this Agreement or any other Loan Document, when and as the same shall become due and payable, and such failure shall continue unremedied for a period of five (5) Business Days;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any Loan Party or any Restricted Subsidiary in connection with any Loan Document or in any report, certificate, financial statement or other document furnished pursuant to or in connection with this Agreement or any other Loan Document, shall prove to have been materially incorrect when made or deemed made;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Loan Party shall fail to observe or perform any covenant, condition or agreement contained in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5.03(a)(i)</w:t>
      </w:r>
      <w:r>
        <w:rPr>
          <w:rFonts w:ascii="Times New Roman" w:cs="Times New Roman" w:eastAsia="Times New Roman" w:hAnsi="Times New Roman"/>
          <w:sz w:val="22"/>
          <w:szCs w:val="22"/>
          <w:color w:val="auto"/>
        </w:rPr>
        <w:t xml:space="preserve"> (in respect of the existence of each Borrower only), or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fail to observe or perform any covenant, condition or agreement contained in this Agreement or any other Loan Document (other than those specified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3" w:name="page244"/>
    <w:bookmarkEnd w:id="243"/>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such failure shall continue unremedied for a period of (i) 5 days after the earlier of any Loan Party’s knowledge of such breach or notice thereof from the Administrative Agent if such breach relates to terms or provisions of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5.03</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5.03(a)(i)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5.07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of this Agreement or (ii) thirty (30) days after the earlier of any Loan Party’s knowledge of such breach or written notice thereof from the Administrative Agent to the Company (which notice will be given at the request of any Lender);</w:t>
      </w:r>
    </w:p>
    <w:p>
      <w:pPr>
        <w:spacing w:after="0" w:line="152" w:lineRule="exact"/>
        <w:rPr>
          <w:sz w:val="20"/>
          <w:szCs w:val="20"/>
          <w:color w:val="auto"/>
        </w:rPr>
      </w:pPr>
    </w:p>
    <w:p>
      <w:pPr>
        <w:jc w:val="both"/>
        <w:ind w:firstLine="656"/>
        <w:spacing w:after="0" w:line="225" w:lineRule="auto"/>
        <w:tabs>
          <w:tab w:leader="none" w:pos="1296"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or any Restricted Subsidiary shall fail to make any payment (whether of principal or interest and regardless of amount) beyond any applicable grace period in respect of any Material Indebtedness, when and as the same shall become due and payable;</w:t>
      </w:r>
    </w:p>
    <w:p>
      <w:pPr>
        <w:spacing w:after="0" w:line="152"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1"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any other event or condition occurs that results in any Material Indebtedness (other than Indebtedness under Swap Agreements) becoming due prior to its scheduled maturity or that enables or permits (with or without the giving of notice, the lapse of time or both) the holder or holders of any Material Indebtedness (other than Indebtedness under Swap Agreements) or any trustee or agent on its or their behalf to cause any Material Indebtedness (other than Indebtedness under Swap Agreements) to become due, or to require the prepayment, repurchase, redemption or defeasance thereof, prior to its scheduled maturity or (2) any Borrower or Restricted Subsidiary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after the expiration of any applicable grace or cure period relating thereto, with the giving of notice if required, such Material Indebtedness to be demanded or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shall not apply to (i) secured Indebtedness that becomes due as a result of the voluntary sale or transfer of the property or assets securing such Indebtedness (including as a result of a casualty or condemnation event), (ii) guarantees of Indebtedness that are satisfied promptly on demand, or (iii) with respect to Indebtedness incurred under any Swap Agreement, termination events or equivalent events pursuant to the terms of the relevant Swap Agreement which are not the result of any default thereunder by any Loan Party;</w:t>
      </w:r>
    </w:p>
    <w:p>
      <w:pPr>
        <w:spacing w:after="0" w:line="164"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(A) liquidation, reorganization or other relief in respect of any Borrower or any Restricted Subsidiary (other than any Immaterial Subsidiary or any Securitization SPE) or its debts, or of a substantial part of its assets, under any Federal, state or foreign bankruptcy, insolvency, receivership or similar law now or hereafter in effect or (B) the appointment of a receiver, trustee, custodian, sequestrator, conservator or similar official for any Borrower or Restricted Subsidiary (other than any Immaterial Subsidiary or any Securitization SPE) or for a substantial part of its assets, and, in any such case, such proceeding or petition shall continue undismissed for sixty (60) days or an order or decree approving or ordering any of the foregoing shall be entered;</w:t>
      </w:r>
    </w:p>
    <w:p>
      <w:pPr>
        <w:spacing w:after="0" w:line="15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Borrower or any Restricted Subsidiary (other than any Immaterial Subsidiary or any Securitization SPE) shall</w:t>
      </w:r>
    </w:p>
    <w:p>
      <w:pPr>
        <w:jc w:val="both"/>
        <w:ind w:firstLine="8"/>
        <w:spacing w:after="0" w:line="212" w:lineRule="auto"/>
        <w:tabs>
          <w:tab w:leader="none" w:pos="25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(iii) apply for or consent to the appointment of a receiver, trustee, custodian, sequestrator, conservator or similar official for any Borrower or any Restricted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4" w:name="page245"/>
    <w:bookmarkEnd w:id="244"/>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Subsidiary (other than any Immaterial Subsidiary or any Securitization SPE) or for a substantial part of its assets, (iv) file an answer admitting the material allegations of a petition filed against it in any such proceeding, (v) make a general assignment for the benefit of creditors, (vi) take any action for the purpose of effecting any of the foregoing, or (vii) without prejudice to the foregoing, in relation to any UK Borrower, any other corporate action, legal proceedings or other procedure or step is taken in relation to: (a) the suspension of payments, a moratorium of any indebtedness, winding-up, dissolution, administration or reorganization (by way of voluntary arrangement, scheme of arrangement or otherwise) of any UK Borrower or (b) a composition, compromise, assignment or arrangement with any creditor of any UK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subclause (vii)</w:t>
      </w:r>
      <w:r>
        <w:rPr>
          <w:rFonts w:ascii="Times New Roman" w:cs="Times New Roman" w:eastAsia="Times New Roman" w:hAnsi="Times New Roman"/>
          <w:sz w:val="22"/>
          <w:szCs w:val="22"/>
          <w:color w:val="auto"/>
        </w:rPr>
        <w:t xml:space="preserve"> shall not apply to any winding-up petition which is frivolous or vexatious and is discharged, stayed or dismissed within 14 days of commencement;</w:t>
      </w:r>
    </w:p>
    <w:p>
      <w:pPr>
        <w:spacing w:after="0" w:line="158" w:lineRule="exact"/>
        <w:rPr>
          <w:sz w:val="20"/>
          <w:szCs w:val="20"/>
          <w:color w:val="auto"/>
        </w:rPr>
      </w:pPr>
    </w:p>
    <w:p>
      <w:pPr>
        <w:ind w:right="20" w:firstLine="656"/>
        <w:spacing w:after="0" w:line="236" w:lineRule="auto"/>
        <w:tabs>
          <w:tab w:leader="none" w:pos="1284"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or any Restricted Subsidiary (other than any Immaterial Subsidiary or any Securitization SPE) shall become unable, admit in writing its inability or fail generally to pay its debts as they become due;</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final judgments for the payment of money in an aggregate amount in excess of $10,000,000 (to the extent not covered by insurance or indemnity as to which the insurer or indemnitor has not denied coverage) shall be rendered against the Company or any Restricted Subsidiary or any combination thereof and the same shall remain undischarged for a period of forty-five (45) consecutive days during which execution shall not be effectively stayed, or any action shall be legally taken by a judgment creditor to attach or levy upon any material assets of the Company and its Restricted Subsidiaries, taken as a whole, to enforce any such judgment or any Loan Party or any Restricted Subsidiary shall fail within forty-five (45)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58" w:lineRule="exact"/>
        <w:rPr>
          <w:rFonts w:ascii="Times New Roman" w:cs="Times New Roman" w:eastAsia="Times New Roman" w:hAnsi="Times New Roman"/>
          <w:sz w:val="22"/>
          <w:szCs w:val="22"/>
          <w:color w:val="auto"/>
        </w:rPr>
      </w:pPr>
    </w:p>
    <w:p>
      <w:pPr>
        <w:ind w:right="20" w:firstLine="656"/>
        <w:spacing w:after="0" w:line="236" w:lineRule="auto"/>
        <w:tabs>
          <w:tab w:leader="none" w:pos="1284"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when taken together with all other ERISA Events that have occurred, could reasonably be expected to result in a Material Adverse Effect;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 or</w:t>
      </w:r>
    </w:p>
    <w:p>
      <w:pPr>
        <w:spacing w:after="0" w:line="179"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material provision of any other Loan Document for any reason ceases to be valid, binding and enforceable against any Loan Party in accordance with its terms (or any Loan Party shall challenge in writing the enforceability of any Loan Document or shall assert in writing, or engage in any action or inaction based on any such written assertion, that any provision of any of the Loan Documents has ceased to be or otherwise is not valid, binding and enforceable against such Loan Party in accordance with its terms), in each case other than as permitted by this Agreement; or (ii) the subordination provisions of any intercreditor agreement (including any Subordination Agreement) or any other agreement or instrument governing any Subordinated Debt shall for any reason be revoked or invalidated, or otherwise cease to be in full force and effect (other than pursuant to the terms thereof or with the written consent of the Required Lenders, subject to Section 9.02(b)), or any Person shall contest in any manner the validity or enforceability thereof or deny that it has any further liability or obligation thereunder, or the Obligations, for any reason shall not have the priority contemplated by this Agreement or such subordination provisions;</w:t>
      </w:r>
    </w:p>
    <w:p>
      <w:pPr>
        <w:spacing w:after="0" w:line="17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then, and in every such event (other than an event with respect to any Borrower described in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and at any time thereafter during the continuance of such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5" w:name="page246"/>
    <w:bookmarkEnd w:id="24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event, the Administrative Agent may, and at the request of the Required Lenders shall, by notice to the Borrowers,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each Borrower; and in case of any event with respect to any Borrower described in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each Borrower and (iii) exercise any rights and remedies provided to the Administrative Agent under the Loan Documents or at law or equity.</w:t>
      </w:r>
    </w:p>
    <w:p>
      <w:pPr>
        <w:spacing w:after="0" w:line="15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Equity Cure</w:t>
      </w:r>
      <w:r>
        <w:rPr>
          <w:rFonts w:ascii="Times New Roman" w:cs="Times New Roman" w:eastAsia="Times New Roman" w:hAnsi="Times New Roman"/>
          <w:sz w:val="22"/>
          <w:szCs w:val="22"/>
          <w:color w:val="auto"/>
        </w:rPr>
        <w:t xml:space="preserve">. Notwithstanding anything to the contrary contained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in the event that the Company fails to comply with the requirements of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as of the end of any relevant period, until the date that is fifteen</w:t>
      </w:r>
    </w:p>
    <w:p>
      <w:pPr>
        <w:spacing w:after="0" w:line="1" w:lineRule="exact"/>
        <w:rPr>
          <w:sz w:val="20"/>
          <w:szCs w:val="20"/>
          <w:color w:val="auto"/>
        </w:rPr>
      </w:pPr>
    </w:p>
    <w:p>
      <w:pPr>
        <w:jc w:val="both"/>
        <w:ind w:firstLine="8"/>
        <w:spacing w:after="0" w:line="226" w:lineRule="auto"/>
        <w:tabs>
          <w:tab w:leader="none" w:pos="43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the date the Compliance Certificate with respect to such period are required to be delivered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5.01(c)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Cure Period</w:t>
      </w:r>
      <w:r>
        <w:rPr>
          <w:rFonts w:ascii="Times New Roman" w:cs="Times New Roman" w:eastAsia="Times New Roman" w:hAnsi="Times New Roman"/>
          <w:sz w:val="21"/>
          <w:szCs w:val="21"/>
          <w:color w:val="auto"/>
        </w:rPr>
        <w:t>”), Company shall have the right to obtain a common equity investment in cash or otherwise obtain cash common equity contribution proceeds from any Holdco Entity (the “</w:t>
      </w:r>
      <w:r>
        <w:rPr>
          <w:rFonts w:ascii="Times New Roman" w:cs="Times New Roman" w:eastAsia="Times New Roman" w:hAnsi="Times New Roman"/>
          <w:sz w:val="21"/>
          <w:szCs w:val="21"/>
          <w:u w:val="single" w:color="auto"/>
          <w:color w:val="auto"/>
        </w:rPr>
        <w:t>Cure Right</w:t>
      </w:r>
      <w:r>
        <w:rPr>
          <w:rFonts w:ascii="Times New Roman" w:cs="Times New Roman" w:eastAsia="Times New Roman" w:hAnsi="Times New Roman"/>
          <w:sz w:val="21"/>
          <w:szCs w:val="21"/>
          <w:color w:val="auto"/>
        </w:rPr>
        <w:t>”), and upon receipt by the Company of such cash contributions (the “</w:t>
      </w:r>
      <w:r>
        <w:rPr>
          <w:rFonts w:ascii="Times New Roman" w:cs="Times New Roman" w:eastAsia="Times New Roman" w:hAnsi="Times New Roman"/>
          <w:sz w:val="21"/>
          <w:szCs w:val="21"/>
          <w:u w:val="single" w:color="auto"/>
          <w:color w:val="auto"/>
        </w:rPr>
        <w:t>Cure Amount</w:t>
      </w:r>
      <w:r>
        <w:rPr>
          <w:rFonts w:ascii="Times New Roman" w:cs="Times New Roman" w:eastAsia="Times New Roman" w:hAnsi="Times New Roman"/>
          <w:sz w:val="21"/>
          <w:szCs w:val="21"/>
          <w:color w:val="auto"/>
        </w:rPr>
        <w:t xml:space="preserve">”), the Company’s compliance with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shall be recalculated giving effect to the following pro forma adjustments: (i) Consolidated EBITDA shall be increased, solely for the purposes of determining compliance with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including determining compliance with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as of the end of such period and applicable subsequent periods that include the fiscal quarter for which the Cure Right is exercised, by an amount equal to the Cure Amount; and (ii) if, after giving effect to the foregoing calculations (but not, for the avoidance of doubt, giving pro forma effect to any repayment of Indebtedness in connection therewith for the fiscal quarter for which cure was made), the requirements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6.13</w:t>
      </w:r>
      <w:r>
        <w:rPr>
          <w:rFonts w:ascii="Times New Roman" w:cs="Times New Roman" w:eastAsia="Times New Roman" w:hAnsi="Times New Roman"/>
          <w:sz w:val="21"/>
          <w:szCs w:val="21"/>
          <w:color w:val="auto"/>
        </w:rPr>
        <w:t xml:space="preserve"> shall be satisfied, then the requirements of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shall be deemed satisfied as of the end of the relevant period with the same effect as though there had been no failure to comply therewith at such date, and the applicable breach or default of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that had occurred shall be deemed cured for the purposes of this Agreement. Notwithstanding anything herein to the contrary, (A) the Cure Right shall not be exercised more than four times during the term of this Agreement, (B) in each consecutive four (4) fiscal quarter period, there shall be a period of at least two (2) fiscal quarters in which the Cure Right is not exercised, (C) the Cure Amount shall be no greater than the amount required to increase Consolidated EBITDA for the applicable Fiscal Quarter to achieve compliance with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for such Fiscal Quarter, (D) the Cure Amount shall be disregarded for purposes of determining compliance with any other provision of this Agreement (including, without limitation, the determination of the Applicable Margin, the Available Amount, or any provision that requires compliance with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on a pro forma basis), (E) the Cure Amount may not be used to finance any Investment in an Unrestricted Subsidiary and (F) to the extent that the proceeds of the Cure Amount are used to repay Indebtedness, such Indebtedness shall not be deemed to have been repaid for purposes of calculating the financial covenants set forth in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for the fiscal quarter with respect to which such Cure Right was made. Neither the Administrative Agent nor any Lender shall have the right to terminate the Commitments, declare all or any portion of the unpaid principal amount of any outstanding Loans, interest accrued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46" w:name="page247"/>
    <w:bookmarkEnd w:id="246"/>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unpaid thereof, and all amounts owing or payable hereunder or under any other Loan Document to be due and payable and/or exercise any other rights and remedies available under the Loan Documents or applicable law solely on the basis of an allegation of an Event of Default having occurred and continuing as a result of the Company’s non-compliance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with respect to any period after delivery to the Administrative Agent of written notice by the Company of its intention to exercise its cure rights for such period under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until the Cure Period has elapsed;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Lenders nor the Issuing Bank shall have any obligation to make Loans or issue Letters of Credit, as applicable, pending actual receipt in immediately available funds of the Cure Amount.</w:t>
      </w:r>
    </w:p>
    <w:p>
      <w:pPr>
        <w:spacing w:after="0" w:line="1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VIII.</w:t>
      </w:r>
    </w:p>
    <w:p>
      <w:pPr>
        <w:ind w:left="4080"/>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Authorization and Action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on behalf of itself and any of its Affiliates that are Holders of Obligations and each Issuing Bank hereby irrevocably appoints the entity named as Administrative Agent in the heading of this Agreement and its successors and permitted assigns to serve as the administrative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58"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Company,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7" w:name="page248"/>
    <w:bookmarkEnd w:id="247"/>
    <w:p>
      <w:pPr>
        <w:spacing w:after="0" w:line="236" w:lineRule="auto"/>
        <w:rPr>
          <w:sz w:val="20"/>
          <w:szCs w:val="20"/>
          <w:color w:val="auto"/>
        </w:rPr>
      </w:pPr>
      <w:r>
        <w:rPr>
          <w:rFonts w:ascii="Times New Roman" w:cs="Times New Roman" w:eastAsia="Times New Roman" w:hAnsi="Times New Roman"/>
          <w:sz w:val="22"/>
          <w:szCs w:val="22"/>
          <w:color w:val="auto"/>
        </w:rPr>
        <w:t>shall have reasonable grounds for believing that repayment of such funds or adequate indemnity against such risk or liability is not reasonably assured to it.</w:t>
      </w:r>
    </w:p>
    <w:p>
      <w:pPr>
        <w:spacing w:after="0" w:line="150" w:lineRule="exact"/>
        <w:rPr>
          <w:sz w:val="20"/>
          <w:szCs w:val="20"/>
          <w:color w:val="auto"/>
        </w:rPr>
      </w:pPr>
    </w:p>
    <w:p>
      <w:pPr>
        <w:jc w:val="both"/>
        <w:ind w:firstLine="656"/>
        <w:spacing w:after="0" w:line="215" w:lineRule="auto"/>
        <w:tabs>
          <w:tab w:leader="none" w:pos="129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limited discretionary powers as contemplated in this Agreement), and its duties are entirely mechanical and administrative in nature. The motivations of the Arrangers and the Administrative Agent are commercial in nature and not to invest in the general performance or operations of the Borrowers. Without limiting the generality of the foregoing:</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44"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does not assume and shall not be deemed to have assumed any obligation or duty or any other relationship as the agent, fiduciary or trustee of or for any Lender, Issuing Bank, any other Holder of Obligations or holder of any other obligation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51"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any Loan Document shall require the Administrative Agent to account to any Lender for any sum or the profit element of any sum received by the Administrative Agent for its own account.</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8" w:name="page249"/>
    <w:bookmarkEnd w:id="248"/>
    <w:p>
      <w:pPr>
        <w:jc w:val="both"/>
        <w:ind w:left="660" w:firstLine="644"/>
        <w:spacing w:after="0" w:line="220" w:lineRule="auto"/>
        <w:tabs>
          <w:tab w:leader="none" w:pos="194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w:t>
      </w:r>
      <w:r>
        <w:rPr>
          <w:rFonts w:ascii="Times New Roman" w:cs="Times New Roman" w:eastAsia="Times New Roman" w:hAnsi="Times New Roman"/>
          <w:sz w:val="22"/>
          <w:szCs w:val="22"/>
          <w:u w:val="single" w:color="auto"/>
          <w:color w:val="auto"/>
        </w:rPr>
        <w:t>Sections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allowed in such judicial proceeding; and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proceeding is hereby authorized by each Lender, each Issuing Bank and each other Holder of Obligations to make such payments to the Administrative Agent and, in the event that the Administrative Agent shall consent to the making of such payments directly to the Lenders, the Issuing Banks or the other Holders of Obligations, to pay to the Administrative Agent any amount due to it, in its capacity as the Administrative Agent, under the Loan Documents (including under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53" w:lineRule="exact"/>
        <w:rPr>
          <w:sz w:val="20"/>
          <w:szCs w:val="20"/>
          <w:color w:val="auto"/>
        </w:rPr>
      </w:pPr>
    </w:p>
    <w:p>
      <w:pPr>
        <w:jc w:val="both"/>
        <w:ind w:firstLine="656"/>
        <w:spacing w:after="0" w:line="213" w:lineRule="auto"/>
        <w:tabs>
          <w:tab w:leader="none" w:pos="1291"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(other than in the case of </w:t>
      </w:r>
      <w:r>
        <w:rPr>
          <w:rFonts w:ascii="Times New Roman" w:cs="Times New Roman" w:eastAsia="Times New Roman" w:hAnsi="Times New Roman"/>
          <w:sz w:val="22"/>
          <w:szCs w:val="22"/>
          <w:u w:val="single" w:color="auto"/>
          <w:color w:val="auto"/>
        </w:rPr>
        <w:t>Section 8.01(a), (d) and (f)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8.03</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8.09</w:t>
      </w:r>
      <w:r>
        <w:rPr>
          <w:rFonts w:ascii="Times New Roman" w:cs="Times New Roman" w:eastAsia="Times New Roman" w:hAnsi="Times New Roman"/>
          <w:sz w:val="22"/>
          <w:szCs w:val="22"/>
          <w:color w:val="auto"/>
        </w:rPr>
        <w:t xml:space="preserve">) are solely for the benefit of the Administrative Agent, the Lenders and the Issuing Banks, and, except solely to the extent of the Borrowers’ rights to consent pursuant to and subject to the conditions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none of the Borrowers or any Subsidiary, or any of their respective Affiliates, shall have any rights as a third party beneficiary under any such provisions (other than in the case of </w:t>
      </w:r>
      <w:r>
        <w:rPr>
          <w:rFonts w:ascii="Times New Roman" w:cs="Times New Roman" w:eastAsia="Times New Roman" w:hAnsi="Times New Roman"/>
          <w:sz w:val="22"/>
          <w:szCs w:val="22"/>
          <w:u w:val="single" w:color="auto"/>
          <w:color w:val="auto"/>
        </w:rPr>
        <w:t>Section 8.01(a), (d) and (f)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8.03</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8.09</w:t>
      </w:r>
      <w:r>
        <w:rPr>
          <w:rFonts w:ascii="Times New Roman" w:cs="Times New Roman" w:eastAsia="Times New Roman" w:hAnsi="Times New Roman"/>
          <w:sz w:val="22"/>
          <w:szCs w:val="22"/>
          <w:color w:val="auto"/>
        </w:rPr>
        <w:t xml:space="preserve">). Each Holder of Obligations, whether or not a party hereto, will be deemed, by its acceptance of the benefits of the guarantees of the Obligations provided under the Loan Documents, to have agreed to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Administrative Agent’s Reliance, Indemnification, Etc</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9" w:lineRule="auto"/>
        <w:tabs>
          <w:tab w:leader="none" w:pos="129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49" w:name="page250"/>
    <w:bookmarkEnd w:id="249"/>
    <w:p>
      <w:pPr>
        <w:ind w:right="20"/>
        <w:spacing w:after="0" w:line="236" w:lineRule="auto"/>
        <w:rPr>
          <w:sz w:val="20"/>
          <w:szCs w:val="20"/>
          <w:color w:val="auto"/>
        </w:rPr>
      </w:pPr>
      <w:r>
        <w:rPr>
          <w:rFonts w:ascii="Times New Roman" w:cs="Times New Roman" w:eastAsia="Times New Roman" w:hAnsi="Times New Roman"/>
          <w:sz w:val="22"/>
          <w:szCs w:val="22"/>
          <w:color w:val="auto"/>
        </w:rPr>
        <w:t>image of an actual executed signature page) or for any failure of any Loan Party to perform its obligations hereunder or thereunder.</w:t>
      </w:r>
    </w:p>
    <w:p>
      <w:pPr>
        <w:spacing w:after="0" w:line="150" w:lineRule="exact"/>
        <w:rPr>
          <w:sz w:val="20"/>
          <w:szCs w:val="20"/>
          <w:color w:val="auto"/>
        </w:rPr>
      </w:pPr>
    </w:p>
    <w:p>
      <w:pPr>
        <w:jc w:val="both"/>
        <w:ind w:firstLine="656"/>
        <w:spacing w:after="0" w:line="208" w:lineRule="auto"/>
        <w:tabs>
          <w:tab w:leader="none" w:pos="129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be deemed not to have knowledge of any (i) notice of any of the events or circumstances set forth or described in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unless and until written notice thereof stating that it is a “notice under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in respect of this Agreement and identifying the specific clause under said Section is given to the Administrative Agent by the Borrowers, or (ii) notice of any Default or Event of Default unless and until written notice thereof (stating that it is a “notice of Default” or a “notice of an Event of Default”) is given to the Administrative Agent by the Borrowers,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 suffered by any Borrower, any Subsidiary, any Lender or any Issuing Bank as a result of any determination of the Revolving Exposure, any of the component amounts thereof or any portion thereof attributable to each Lender or Issuing Bank, or any Dollar Equivalent.</w:t>
      </w:r>
    </w:p>
    <w:p>
      <w:pPr>
        <w:spacing w:after="0" w:line="160"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(ii) may rely on the Register to the extent set forth in </w:t>
      </w:r>
      <w:r>
        <w:rPr>
          <w:rFonts w:ascii="Times New Roman" w:cs="Times New Roman" w:eastAsia="Times New Roman" w:hAnsi="Times New Roman"/>
          <w:sz w:val="22"/>
          <w:szCs w:val="22"/>
          <w:u w:val="single" w:color="auto"/>
          <w:color w:val="auto"/>
        </w:rPr>
        <w:t>Section 9.04(b)</w:t>
      </w:r>
      <w:r>
        <w:rPr>
          <w:rFonts w:ascii="Times New Roman" w:cs="Times New Roman" w:eastAsia="Times New Roman" w:hAnsi="Times New Roman"/>
          <w:sz w:val="22"/>
          <w:szCs w:val="22"/>
          <w:color w:val="auto"/>
        </w:rPr>
        <w:t>,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6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Posting of Communications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6" w:lineRule="auto"/>
        <w:tabs>
          <w:tab w:leader="none" w:pos="129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agrees that the Administrative Agent may, but shall not be obligated to, make any Communications available to the Lenders and the Issuing Banks by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0" w:name="page251"/>
    <w:bookmarkEnd w:id="250"/>
    <w:p>
      <w:pPr>
        <w:spacing w:after="0" w:line="236" w:lineRule="auto"/>
        <w:rPr>
          <w:sz w:val="20"/>
          <w:szCs w:val="20"/>
          <w:color w:val="auto"/>
        </w:rPr>
      </w:pPr>
      <w:r>
        <w:rPr>
          <w:rFonts w:ascii="Times New Roman" w:cs="Times New Roman" w:eastAsia="Times New Roman" w:hAnsi="Times New Roman"/>
          <w:sz w:val="22"/>
          <w:szCs w:val="22"/>
          <w:color w:val="auto"/>
        </w:rPr>
        <w:t>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56"/>
        <w:spacing w:after="0" w:line="211" w:lineRule="auto"/>
        <w:tabs>
          <w:tab w:leader="none" w:pos="129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of the Borrowers hereby approves distribution of the Communications through the Approved Electronic Platform and understands and assumes the risks of such distribution.</w:t>
      </w:r>
    </w:p>
    <w:p>
      <w:pPr>
        <w:spacing w:after="0" w:line="151"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3"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Times New Roman" w:cs="Times New Roman" w:eastAsia="Times New Roman" w:hAnsi="Times New Roman"/>
          <w:sz w:val="22"/>
          <w:szCs w:val="22"/>
          <w:u w:val="single" w:color="auto"/>
          <w:color w:val="auto"/>
        </w:rPr>
        <w:t>APPLICABLE PARTIES</w:t>
      </w:r>
      <w:r>
        <w:rPr>
          <w:rFonts w:ascii="Times New Roman" w:cs="Times New Roman" w:eastAsia="Times New Roman" w:hAnsi="Times New Roman"/>
          <w:sz w:val="22"/>
          <w:szCs w:val="22"/>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 including through an Approved Electronic Platform.</w:t>
      </w:r>
    </w:p>
    <w:p>
      <w:pPr>
        <w:spacing w:after="0" w:line="149" w:lineRule="exact"/>
        <w:rPr>
          <w:sz w:val="20"/>
          <w:szCs w:val="20"/>
          <w:color w:val="auto"/>
        </w:rPr>
      </w:pPr>
    </w:p>
    <w:p>
      <w:pPr>
        <w:jc w:val="both"/>
        <w:ind w:firstLine="656"/>
        <w:spacing w:after="0" w:line="217" w:lineRule="auto"/>
        <w:tabs>
          <w:tab w:leader="none" w:pos="1291"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2"/>
          <w:szCs w:val="22"/>
          <w:color w:val="auto"/>
        </w:rPr>
        <w:t>be sent by electronic transmission and (ii) that the foregoing notice may be sent to such email address.</w:t>
      </w:r>
    </w:p>
    <w:p>
      <w:pPr>
        <w:spacing w:after="0" w:line="179" w:lineRule="exact"/>
        <w:rPr>
          <w:sz w:val="20"/>
          <w:szCs w:val="20"/>
          <w:color w:val="auto"/>
        </w:rPr>
      </w:pPr>
    </w:p>
    <w:p>
      <w:pPr>
        <w:jc w:val="both"/>
        <w:ind w:firstLine="656"/>
        <w:spacing w:after="0" w:line="220" w:lineRule="auto"/>
        <w:tabs>
          <w:tab w:leader="none" w:pos="129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each of the Issuing Banks and each of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The Administrative Agent Individually</w:t>
      </w:r>
      <w:r>
        <w:rPr>
          <w:rFonts w:ascii="Times New Roman" w:cs="Times New Roman" w:eastAsia="Times New Roman" w:hAnsi="Times New Roman"/>
          <w:sz w:val="22"/>
          <w:szCs w:val="22"/>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8" w:lineRule="auto"/>
        <w:tabs>
          <w:tab w:leader="none" w:pos="129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resign at any time by giving thirty (30) days’ prior written notice thereof to the Lenders, the Issuing Banks and the Company, whether or not a successor Administrative Agent has been appointed. Upon any such resignation, the Required Lenders shall have the right to appoint a successor Administrative Agent, which may not be a Disqualified Lender.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 Specified Event of Default has occurred and is continuing but may not, in any event, be a Disqualified Lender).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64"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paragraph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in the event no successor Administrative Agent shall have been so appointed and shall have accepted such appointment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2" w:name="page253"/>
    <w:bookmarkEnd w:id="252"/>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within thirty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2.17(d)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8.06</w:t>
      </w:r>
      <w:r>
        <w:rPr>
          <w:sz w:val="20"/>
          <w:szCs w:val="20"/>
          <w:color w:val="auto"/>
        </w:rPr>
        <w:tab/>
      </w:r>
      <w:r>
        <w:rPr>
          <w:rFonts w:ascii="Times New Roman" w:cs="Times New Roman" w:eastAsia="Times New Roman" w:hAnsi="Times New Roman"/>
          <w:sz w:val="21"/>
          <w:szCs w:val="21"/>
          <w:u w:val="single" w:color="auto"/>
          <w:color w:val="auto"/>
        </w:rPr>
        <w:t>Acknowledgements of Lenders and Issuing Banks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8" w:lineRule="auto"/>
        <w:tabs>
          <w:tab w:leader="none" w:pos="1293"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federal or state securities laws),</w:t>
      </w:r>
    </w:p>
    <w:p>
      <w:pPr>
        <w:spacing w:after="0" w:line="3" w:lineRule="exact"/>
        <w:rPr>
          <w:rFonts w:ascii="Times New Roman" w:cs="Times New Roman" w:eastAsia="Times New Roman" w:hAnsi="Times New Roman"/>
          <w:sz w:val="21"/>
          <w:szCs w:val="21"/>
          <w:color w:val="auto"/>
        </w:rPr>
      </w:pPr>
    </w:p>
    <w:p>
      <w:pPr>
        <w:jc w:val="both"/>
        <w:ind w:firstLine="8"/>
        <w:spacing w:after="0" w:line="207" w:lineRule="auto"/>
        <w:tabs>
          <w:tab w:leader="none" w:pos="399"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independently and without reliance upon the Administrative Agent, any Arranger, any Syndication Agent, any Co-Documentation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any Co-Documentation Agent, or any other Lender or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1"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3" w:name="page254"/>
    <w:bookmarkEnd w:id="253"/>
    <w:p>
      <w:pPr>
        <w:spacing w:after="0" w:line="236" w:lineRule="auto"/>
        <w:rPr>
          <w:sz w:val="20"/>
          <w:szCs w:val="20"/>
          <w:color w:val="auto"/>
        </w:rPr>
      </w:pPr>
      <w:r>
        <w:rPr>
          <w:rFonts w:ascii="Times New Roman" w:cs="Times New Roman" w:eastAsia="Times New Roman" w:hAnsi="Times New Roman"/>
          <w:sz w:val="22"/>
          <w:szCs w:val="22"/>
          <w:color w:val="auto"/>
        </w:rPr>
        <w:t>Agent or the Lenders on the Effective Date or the effective date of any such Assignment and Assumption or any other Loan Document pursuant to which it shall have become a Lender hereunder.</w:t>
      </w:r>
    </w:p>
    <w:p>
      <w:pPr>
        <w:spacing w:after="0" w:line="150" w:lineRule="exact"/>
        <w:rPr>
          <w:sz w:val="20"/>
          <w:szCs w:val="20"/>
          <w:color w:val="auto"/>
        </w:rPr>
      </w:pPr>
    </w:p>
    <w:p>
      <w:pPr>
        <w:jc w:val="both"/>
        <w:ind w:firstLine="656"/>
        <w:spacing w:after="0" w:line="219" w:lineRule="auto"/>
        <w:tabs>
          <w:tab w:leader="none" w:pos="1293"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were erroneously transmitted to such Lender (whether or not known to such Lender), and demands the return of such Payment (or a portion thereof), such Lender shall promptly, but in no event later than one Business Day thereafter (or such later date as the Administrative Agent, in its sole discretion, may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21"/>
          <w:szCs w:val="21"/>
          <w:u w:val="single" w:color="auto"/>
          <w:color w:val="auto"/>
        </w:rPr>
        <w:t>Section 8.06(c)</w:t>
      </w:r>
      <w:r>
        <w:rPr>
          <w:rFonts w:ascii="Times New Roman" w:cs="Times New Roman" w:eastAsia="Times New Roman" w:hAnsi="Times New Roman"/>
          <w:sz w:val="21"/>
          <w:szCs w:val="21"/>
          <w:color w:val="auto"/>
        </w:rPr>
        <w:t xml:space="preserve"> shall be conclusive, absent manifest error.</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09" w:lineRule="auto"/>
        <w:tabs>
          <w:tab w:leader="none" w:pos="1944"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in its sole discretion, may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agrees that in the event an erroneous Payment (or portion thereof) is not recovered from any Lender or Issuing Bank that has received such erroneous Payment (or portion thereof) for any reason, (x) the Administrative Agent shall be subrogated to all the rights of such Lender or Issuing Bank with respect to such amount (if any) under this Agreement and the Loan Documents and (y) the receipt of an erroneous Payment shall not pay, prepay, repay, discharge or otherwise satisfy any Obligations owed by any Borrower, except, in each case, to the extent such erroneous Payment is, and solely with respect to the amount of such erroneous Payment that is, comprised of funds of any Borrower or any Loan Party received by the Administrative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4" w:name="page255"/>
    <w:bookmarkEnd w:id="254"/>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Agent from or at the direction of any Borrower or any Loan Party for the purpose of making such payment. To the extent any such erroneous Payment is comprised of funds taken from an account of any Borrower or any Subsidiary without such Borrower’s or such Subsidiary’s authorization or as otherwise permitted pursuant to any Loan Document or applicable law, any such funds shall be immediately returned by the applicable Lender to the relevant Borrower or the relevant Subsidiary and nothing contained in this Agreement or any other Loan Document shall prejudice the rights of any Borrower or any Subsidiary with respect to such unauthorized debit or conversion of its funds.</w:t>
      </w:r>
    </w:p>
    <w:p>
      <w:pPr>
        <w:spacing w:after="0" w:line="152" w:lineRule="exact"/>
        <w:rPr>
          <w:sz w:val="20"/>
          <w:szCs w:val="20"/>
          <w:color w:val="auto"/>
        </w:rPr>
      </w:pPr>
    </w:p>
    <w:p>
      <w:pPr>
        <w:jc w:val="both"/>
        <w:ind w:left="660" w:firstLine="644"/>
        <w:spacing w:after="0" w:line="225" w:lineRule="auto"/>
        <w:tabs>
          <w:tab w:leader="none" w:pos="1956"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8.06(c)</w:t>
      </w:r>
      <w:r>
        <w:rPr>
          <w:rFonts w:ascii="Times New Roman" w:cs="Times New Roman" w:eastAsia="Times New Roman" w:hAnsi="Times New Roman"/>
          <w:sz w:val="22"/>
          <w:szCs w:val="22"/>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any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59"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3"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acknowledge that there may be a constant flow of information (including information which may be subject to confidentiality obligations in favor of the Loan Parties) between the Loan Parties and their Affiliates, on the one hand, and JPMCB and its Affiliates, on the other hand. Without limiting the foregoing, the Loan Parties or their Affiliates may provide information, including updates to previously provided information to JPMCB and/or its Affiliates acting in different capacities, including as Lender, lead bank, arranger or potential securities investor, independent of such entity’s role as administrative agent hereunder. The Lenders acknowledge that neither JPMCB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5" w:name="page256"/>
    <w:bookmarkEnd w:id="255"/>
    <w:p>
      <w:pPr>
        <w:jc w:val="both"/>
        <w:spacing w:after="0" w:line="217" w:lineRule="auto"/>
        <w:rPr>
          <w:sz w:val="20"/>
          <w:szCs w:val="20"/>
          <w:color w:val="auto"/>
        </w:rPr>
      </w:pPr>
      <w:r>
        <w:rPr>
          <w:rFonts w:ascii="Times New Roman" w:cs="Times New Roman" w:eastAsia="Times New Roman" w:hAnsi="Times New Roman"/>
          <w:sz w:val="22"/>
          <w:szCs w:val="22"/>
          <w:color w:val="auto"/>
        </w:rPr>
        <w:t>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Guaranty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the exercise of setoff rights in accordance with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 xml:space="preserve"> or with respect to a Holder of Obligations’ right to file a proof of claim in an insolvency proceeding, no Holder of Obligations shall have any right individually to enforce any guarantee of the Obligations, it being understood and agreed that all powers, rights and remedies under the Loan Documents may be exercised solely by the Administrative Agent on behalf of the Holders of Obligations in accordance with the terms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of the foregoing and not in limitation thereof, no arrangements in respect of Banking Services the obligations under which constitute Obligations and no Swap Agreement the obligations under which constitute Obligations, will create (or be deemed to create) in favor of any Holder of Obligations that is a party thereto any rights in connection with the obligations of any Loan Party under any Loan Document. By accepting the benefits of the Guaranty, each Holder of Obligations that is a party to any such arrangement in respect of Banking Services or Swap Agreement, as applicable, shall be deemed to have appointed the Administrative Agent to serve as administrative agent under the Loan Documents and agreed to be bound by the Loan Documents as a Holder of Obligations thereunder, subject to the limitations set forth in this paragraph.</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8.08</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8.09</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any Borrower or any other Loan Party, that at least one of the following is and will be true:</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in connection with the Loans, the Letters of Credit or the Commitments,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6" w:name="page257"/>
    <w:bookmarkEnd w:id="256"/>
    <w:p>
      <w:pPr>
        <w:jc w:val="both"/>
        <w:ind w:left="660" w:firstLine="644"/>
        <w:spacing w:after="0" w:line="212" w:lineRule="auto"/>
        <w:tabs>
          <w:tab w:leader="none" w:pos="1956"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6"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unless </w:t>
      </w:r>
      <w:r>
        <w:rPr>
          <w:rFonts w:ascii="Times New Roman" w:cs="Times New Roman" w:eastAsia="Times New Roman" w:hAnsi="Times New Roman"/>
          <w:sz w:val="22"/>
          <w:szCs w:val="22"/>
          <w:u w:val="single" w:color="auto"/>
          <w:color w:val="auto"/>
        </w:rPr>
        <w:t>sub-clause (i)</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22"/>
          <w:szCs w:val="22"/>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any Borrower or any other Loan Party, that none of the Administrative Agent, or any Arranger, any 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58"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any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Flood Laws</w:t>
      </w:r>
      <w:r>
        <w:rPr>
          <w:rFonts w:ascii="Times New Roman" w:cs="Times New Roman" w:eastAsia="Times New Roman" w:hAnsi="Times New Roman"/>
          <w:sz w:val="22"/>
          <w:szCs w:val="22"/>
          <w:color w:val="auto"/>
        </w:rPr>
        <w:t>. JPMCB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22"/>
          <w:szCs w:val="22"/>
          <w:u w:val="single" w:color="auto"/>
          <w:color w:val="auto"/>
        </w:rPr>
        <w:t>Flood Laws</w:t>
      </w:r>
      <w:r>
        <w:rPr>
          <w:rFonts w:ascii="Times New Roman" w:cs="Times New Roman" w:eastAsia="Times New Roman" w:hAnsi="Times New Roman"/>
          <w:sz w:val="22"/>
          <w:szCs w:val="22"/>
          <w:color w:val="auto"/>
        </w:rPr>
        <w:t>”). JPMCB, as administrative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7" w:name="page258"/>
    <w:bookmarkEnd w:id="257"/>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Intercreditor Arrangements</w:t>
      </w:r>
      <w:r>
        <w:rPr>
          <w:rFonts w:ascii="Times New Roman" w:cs="Times New Roman" w:eastAsia="Times New Roman" w:hAnsi="Times New Roman"/>
          <w:sz w:val="22"/>
          <w:szCs w:val="22"/>
          <w:color w:val="auto"/>
        </w:rPr>
        <w:t>. Each Lender, on behalf of itself and any of its Affiliates that are Holders of Obligations, and the Issuing Bank each hereby (a) irrevocably authorizes the Administrative Agent to enter into any intercreditor agreement or subordination agreement (including any Subordination Agreement) contemplated hereby (and any amendments, amendments and restatements, restatements or waivers of or supplements to or other modifications to, such agreements or arrangements in connection with the incurrence by any Loan Party or its Restricted Subsidiaries of any Indebtedness to the extent permitted hereby), and (b) acknowledges and agrees that it will be bound by and will take no actions contrary to the provisions of any intercreditor agreement or subordination agreement (including any Subordination Agreement) entered into in connection herewith or contemplated hereby.</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Borrower Communications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the Lenders and the Issuing Banks agree that any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2"/>
          <w:szCs w:val="22"/>
          <w:u w:val="single" w:color="auto"/>
          <w:color w:val="auto"/>
        </w:rPr>
        <w:t>Approved Borrower Portal</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each Borrower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Issuing Banks and the each of the Borrowers hereby approves distribution of Borrower Communications through the Approved Borrower Portal and understands and assumes the risks of such distribution.</w:t>
      </w:r>
    </w:p>
    <w:p>
      <w:pPr>
        <w:spacing w:after="0" w:line="156"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ANY APPLICABLE PARTY (AS DEFINED IN SECTION 8.03) HAVE ANY LIABILITY TO ANY LOAN PARTY, ANY LENDER, ANY ISSUING BANK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w:t>
      </w:r>
    </w:p>
    <w:p>
      <w:pPr>
        <w:spacing w:after="0" w:line="18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Communications</w:t>
      </w:r>
      <w:r>
        <w:rPr>
          <w:rFonts w:ascii="Times New Roman" w:cs="Times New Roman" w:eastAsia="Times New Roman" w:hAnsi="Times New Roman"/>
          <w:sz w:val="22"/>
          <w:szCs w:val="22"/>
          <w:color w:val="auto"/>
        </w:rPr>
        <w:t>” means, collectively, any Borrowing Request, Interest Election Request, notice of prepayment, notice requesting the issuance, amendment or extension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58" w:name="page259"/>
    <w:bookmarkEnd w:id="258"/>
    <w:p>
      <w:pPr>
        <w:jc w:val="both"/>
        <w:spacing w:after="0" w:line="257" w:lineRule="auto"/>
        <w:rPr>
          <w:sz w:val="20"/>
          <w:szCs w:val="20"/>
          <w:color w:val="auto"/>
        </w:rPr>
      </w:pPr>
      <w:r>
        <w:rPr>
          <w:rFonts w:ascii="Times New Roman" w:cs="Times New Roman" w:eastAsia="Times New Roman" w:hAnsi="Times New Roman"/>
          <w:sz w:val="22"/>
          <w:szCs w:val="22"/>
          <w:color w:val="auto"/>
        </w:rPr>
        <w:t>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159" w:lineRule="exact"/>
        <w:rPr>
          <w:sz w:val="20"/>
          <w:szCs w:val="20"/>
          <w:color w:val="auto"/>
        </w:rPr>
      </w:pPr>
    </w:p>
    <w:p>
      <w:pPr>
        <w:jc w:val="both"/>
        <w:ind w:firstLine="656"/>
        <w:spacing w:after="0" w:line="236" w:lineRule="auto"/>
        <w:tabs>
          <w:tab w:leader="none" w:pos="1291"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each of the Issuing Banks and each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51" w:lineRule="exact"/>
        <w:rPr>
          <w:rFonts w:ascii="Times New Roman" w:cs="Times New Roman" w:eastAsia="Times New Roman" w:hAnsi="Times New Roman"/>
          <w:sz w:val="21"/>
          <w:szCs w:val="21"/>
          <w:color w:val="auto"/>
        </w:rPr>
      </w:pPr>
    </w:p>
    <w:p>
      <w:pPr>
        <w:ind w:firstLine="656"/>
        <w:spacing w:after="0" w:line="236" w:lineRule="auto"/>
        <w:tabs>
          <w:tab w:leader="none" w:pos="129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any Borrower to give any notice or other communication pursuant to any Loan Document in any other manner specified in such Loan Document.</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IX.</w:t>
      </w:r>
    </w:p>
    <w:p>
      <w:pPr>
        <w:ind w:left="472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Loan Party: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59" w:name="page260"/>
    <w:bookmarkEnd w:id="259"/>
    <w:p>
      <w:pPr>
        <w:spacing w:after="0" w:line="3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141 River’s Edge Drive, Suite 200</w:t>
      </w:r>
    </w:p>
    <w:p>
      <w:pPr>
        <w:spacing w:after="0" w:line="2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Traverse City, Michigan 49684</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Attention: Mr. Patrick McClymont, Chief Financial Officer</w:t>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Facsimile No.: (231) 922-8829</w:t>
      </w:r>
    </w:p>
    <w:p>
      <w:pPr>
        <w:spacing w:after="0" w:line="1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Email: pmcclymont@hagerty.com;</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Telephone No.: (231) 922-8876</w:t>
      </w:r>
    </w:p>
    <w:p>
      <w:pPr>
        <w:spacing w:after="0" w:line="2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141 River’s Edge Drive, Suite 200</w:t>
      </w:r>
    </w:p>
    <w:p>
      <w:pPr>
        <w:spacing w:after="0" w:line="2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Traverse City, Michigan 49684</w:t>
      </w:r>
    </w:p>
    <w:p>
      <w:pPr>
        <w:spacing w:after="0" w:line="1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Attention: Mark Elliott, SVP of Strategy &amp; Treasurer</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Email: melliott@hagerty.com</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Telephone No.: (215) 900-0141</w:t>
      </w:r>
    </w:p>
    <w:p>
      <w:pPr>
        <w:spacing w:after="0" w:line="2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with copies of any notices of any Default also sent to:</w:t>
      </w:r>
    </w:p>
    <w:p>
      <w:pPr>
        <w:spacing w:after="0" w:line="24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141 River’s Edge Drive, Suite 200</w:t>
      </w:r>
    </w:p>
    <w:p>
      <w:pPr>
        <w:spacing w:after="0" w:line="2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Traverse City, Michigan 49684</w:t>
      </w:r>
    </w:p>
    <w:p>
      <w:pPr>
        <w:spacing w:after="0" w:line="1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Attention: Diana Chafey, Chief Legal Officer</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Facsimile No.: (231) 922-8829</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Email: dchafey@hagerty.com</w:t>
      </w:r>
    </w:p>
    <w:p>
      <w:pPr>
        <w:spacing w:after="0" w:line="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Telephone No.: (312) 401-7903</w:t>
      </w:r>
    </w:p>
    <w:p>
      <w:pPr>
        <w:spacing w:after="0" w:line="331" w:lineRule="exact"/>
        <w:rPr>
          <w:sz w:val="20"/>
          <w:szCs w:val="20"/>
          <w:color w:val="auto"/>
        </w:rPr>
      </w:pPr>
    </w:p>
    <w:p>
      <w:pPr>
        <w:ind w:left="660" w:firstLine="644"/>
        <w:spacing w:after="0" w:line="236" w:lineRule="auto"/>
        <w:tabs>
          <w:tab w:leader="none" w:pos="195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Swingline Lender, to the address or addresses separately provided to the Borrower Representative;</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 Issuing Bank, to the address separately provided to the Borrower;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notification of, or in respect of, the DQ List, also to JPMDQ_Contact@jpmorgan.com; and</w:t>
      </w:r>
    </w:p>
    <w:p>
      <w:pPr>
        <w:spacing w:after="0" w:line="17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email or telecopy number) set forth in its Administrative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Questionnaire.</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not given during normal business hours for the recipient, such notice or communication shall be deemed to have been given at the opening of business on the next Business Day of the recipient, or (iii) delivered through Approved Electronic Platforms or Approved Borrower Portals, to the extent provided in paragraph (b) below, shall be effective as provided in said paragraph (b).</w:t>
      </w:r>
    </w:p>
    <w:p>
      <w:pPr>
        <w:spacing w:after="0" w:line="152" w:lineRule="exact"/>
        <w:rPr>
          <w:sz w:val="20"/>
          <w:szCs w:val="20"/>
          <w:color w:val="auto"/>
        </w:rPr>
      </w:pPr>
    </w:p>
    <w:p>
      <w:pPr>
        <w:jc w:val="both"/>
        <w:ind w:right="20" w:firstLine="656"/>
        <w:spacing w:after="0" w:line="225" w:lineRule="auto"/>
        <w:tabs>
          <w:tab w:leader="none" w:pos="129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and other communications to any Borrower, any Loan Party, the Lenders and the Issuing Banks hereunder may be delivered or furnished by using Approved Electronic Platforms or Approved Borrower Portals, as applicable, or pursuant to procedures approved by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or to Compliance Certificates unless otherwise agreed by the Administrative Agent and the applicable Lender. Each of the Administrative Agent and the Company (on behalf of the Loan Parties) may, in its discretion, agree to accept notices and other communications to it hereunder by using Approved Electronic Platforms or Approved Borrower Portals, as applicable,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55" w:lineRule="exact"/>
        <w:rPr>
          <w:sz w:val="20"/>
          <w:szCs w:val="20"/>
          <w:color w:val="auto"/>
        </w:rPr>
      </w:pPr>
    </w:p>
    <w:p>
      <w:pPr>
        <w:ind w:firstLine="656"/>
        <w:spacing w:after="0" w:line="236" w:lineRule="auto"/>
        <w:tabs>
          <w:tab w:leader="none" w:pos="129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facsimile number or e-mail address for notices and other communications hereunder by notice to the other parties hereto.</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9.02</w:t>
      </w:r>
      <w:r>
        <w:rPr>
          <w:sz w:val="20"/>
          <w:szCs w:val="20"/>
          <w:color w:val="auto"/>
        </w:rPr>
        <w:tab/>
      </w:r>
      <w:r>
        <w:rPr>
          <w:rFonts w:ascii="Times New Roman" w:cs="Times New Roman" w:eastAsia="Times New Roman" w:hAnsi="Times New Roman"/>
          <w:sz w:val="21"/>
          <w:szCs w:val="21"/>
          <w:u w:val="single" w:color="auto"/>
          <w:color w:val="auto"/>
        </w:rPr>
        <w:t>Waivers; Amendments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0" w:lineRule="auto"/>
        <w:tabs>
          <w:tab w:leader="none" w:pos="1293"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57" w:lineRule="exact"/>
        <w:rPr>
          <w:rFonts w:ascii="Times New Roman" w:cs="Times New Roman" w:eastAsia="Times New Roman" w:hAnsi="Times New Roman"/>
          <w:sz w:val="22"/>
          <w:szCs w:val="22"/>
          <w:color w:val="auto"/>
        </w:rPr>
      </w:pPr>
    </w:p>
    <w:p>
      <w:pPr>
        <w:jc w:val="both"/>
        <w:ind w:firstLine="656"/>
        <w:spacing w:after="0" w:line="226" w:lineRule="auto"/>
        <w:tabs>
          <w:tab w:leader="none" w:pos="1291"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2.13(b), (c)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(each as in effect on the Effective Date), neither this Agreement nor any other Loan Document nor any provision hereof or thereof may be waived, amended or modified except</w:t>
      </w:r>
    </w:p>
    <w:p>
      <w:pPr>
        <w:spacing w:after="0" w:line="1" w:lineRule="exact"/>
        <w:rPr>
          <w:rFonts w:ascii="Times New Roman" w:cs="Times New Roman" w:eastAsia="Times New Roman" w:hAnsi="Times New Roman"/>
          <w:sz w:val="21"/>
          <w:szCs w:val="21"/>
          <w:color w:val="auto"/>
        </w:rPr>
      </w:pPr>
    </w:p>
    <w:p>
      <w:pPr>
        <w:jc w:val="both"/>
        <w:ind w:firstLine="8"/>
        <w:spacing w:after="0" w:line="209" w:lineRule="auto"/>
        <w:tabs>
          <w:tab w:leader="none" w:pos="29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 (i) increase or extend the Commitment of any Lender, without the written consent of such Lender (including any such Lender that is a Defaulting Lender) (it being understood that a waiver of any condition precedent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or the waiver of any Default, Event of Default or mandatory reduction of the Commitments shall not be an increase of a Commitment of any Lender), (ii) reduce or forgive the principal amount of any Loan or LC Disbursement or reduce or forgive the rate of interest thereon (other than interest accruing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61" w:name="page262"/>
    <w:bookmarkEnd w:id="261"/>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u w:val="single" w:color="auto"/>
          <w:color w:val="auto"/>
        </w:rPr>
        <w:t>Section 2.12(c)</w:t>
      </w:r>
      <w:r>
        <w:rPr>
          <w:rFonts w:ascii="Times New Roman" w:cs="Times New Roman" w:eastAsia="Times New Roman" w:hAnsi="Times New Roman"/>
          <w:sz w:val="21"/>
          <w:szCs w:val="21"/>
          <w:color w:val="auto"/>
        </w:rPr>
        <w:t xml:space="preserve"> or a waiver thereof), or reduce or forgive any fees or other amounts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(it being understood that a waiver of any condition precedent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or the waiver of any Default or Event of Default or mandatory reduction of the Commitments shall not be an extension of a Commitment of any Lender), without the written consent of each Lender directly affected thereby, (iv) change </w:t>
      </w:r>
      <w:r>
        <w:rPr>
          <w:rFonts w:ascii="Times New Roman" w:cs="Times New Roman" w:eastAsia="Times New Roman" w:hAnsi="Times New Roman"/>
          <w:sz w:val="21"/>
          <w:szCs w:val="21"/>
          <w:u w:val="single" w:color="auto"/>
          <w:color w:val="auto"/>
        </w:rPr>
        <w:t>Section 2.17(b)</w:t>
      </w:r>
      <w:r>
        <w:rPr>
          <w:rFonts w:ascii="Times New Roman" w:cs="Times New Roman" w:eastAsia="Times New Roman" w:hAnsi="Times New Roman"/>
          <w:sz w:val="21"/>
          <w:szCs w:val="21"/>
          <w:color w:val="auto"/>
        </w:rPr>
        <w:t xml:space="preserve"> or</w:t>
      </w:r>
    </w:p>
    <w:p>
      <w:pPr>
        <w:spacing w:after="0" w:line="3" w:lineRule="exact"/>
        <w:rPr>
          <w:sz w:val="20"/>
          <w:szCs w:val="20"/>
          <w:color w:val="auto"/>
        </w:rPr>
      </w:pPr>
    </w:p>
    <w:p>
      <w:pPr>
        <w:jc w:val="both"/>
        <w:ind w:firstLine="8"/>
        <w:spacing w:after="0" w:line="206" w:lineRule="auto"/>
        <w:tabs>
          <w:tab w:leader="none" w:pos="309" w:val="left"/>
        </w:tabs>
        <w:numPr>
          <w:ilvl w:val="0"/>
          <w:numId w:val="2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in a manner that would alter the manner in which payments are shared or change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 xml:space="preserve"> in a manner that would alter the ratable reduction of Commitments, in each case, without the written consent of each Lender (including any such Lender that is a Defaulting Lender), (v) change any of the provisions of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or the definition of “Required Lenders”,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(vi) release the Company from its obligations under the Loan Documents, or release any Foreign Subsidiary Borrower from its obligations under the Loan Documents (except as permitted under </w:t>
      </w:r>
      <w:r>
        <w:rPr>
          <w:rFonts w:ascii="Times New Roman" w:cs="Times New Roman" w:eastAsia="Times New Roman" w:hAnsi="Times New Roman"/>
          <w:sz w:val="22"/>
          <w:szCs w:val="22"/>
          <w:u w:val="single" w:color="auto"/>
          <w:color w:val="auto"/>
        </w:rPr>
        <w:t>Section 2.22(b)</w:t>
      </w:r>
      <w:r>
        <w:rPr>
          <w:rFonts w:ascii="Times New Roman" w:cs="Times New Roman" w:eastAsia="Times New Roman" w:hAnsi="Times New Roman"/>
          <w:sz w:val="22"/>
          <w:szCs w:val="22"/>
          <w:color w:val="auto"/>
        </w:rPr>
        <w:t xml:space="preserve"> as in effect on the Effective Date), or release all or substantially all of the Guarantors from their obligation under the Guaranty or all or substantially all of the value of the Guarantees provided by the Guarantors (except as otherwise permitted herein or in the other Loan Documents as in effect on the Effective Date), in each case, without the written consent of each Lender (other than any Defaulting Lender), or (vii) subordinate, or have the effect of subordinating (whether by contract, structurally or otherwise), the right of payment of all or any portion of the Obligations to any other Indebtedness or other obligations or liabilities without the written consent of each Lender, except, in each case, to the extent each Lender is offered the opportunity to provide its pro rata share of the priming Indebtedness on the same terms (other than bona fide backstop fees, any arrangement or restructuring fees and reimbursement of expenses);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The Administrative Agent may also amend the </w:t>
      </w:r>
      <w:r>
        <w:rPr>
          <w:rFonts w:ascii="Times New Roman" w:cs="Times New Roman" w:eastAsia="Times New Roman" w:hAnsi="Times New Roman"/>
          <w:sz w:val="22"/>
          <w:szCs w:val="22"/>
          <w:u w:val="single" w:color="auto"/>
          <w:color w:val="auto"/>
        </w:rPr>
        <w:t>Commitment Schedule</w:t>
      </w:r>
      <w:r>
        <w:rPr>
          <w:rFonts w:ascii="Times New Roman" w:cs="Times New Roman" w:eastAsia="Times New Roman" w:hAnsi="Times New Roman"/>
          <w:sz w:val="22"/>
          <w:szCs w:val="22"/>
          <w:color w:val="auto"/>
        </w:rPr>
        <w:t xml:space="preserve"> to reflect assignments entered into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Company and the requisite number or percentage in interest of each affected Class of Lenders that would be required to consent thereto under this Section if such Class of Lenders were the only Class of Lenders hereunder at the time.</w:t>
      </w:r>
    </w:p>
    <w:p>
      <w:pPr>
        <w:spacing w:after="0" w:line="165" w:lineRule="exact"/>
        <w:rPr>
          <w:rFonts w:ascii="Times New Roman" w:cs="Times New Roman" w:eastAsia="Times New Roman" w:hAnsi="Times New Roman"/>
          <w:sz w:val="22"/>
          <w:szCs w:val="22"/>
          <w:u w:val="single" w:color="auto"/>
          <w:color w:val="auto"/>
        </w:rPr>
      </w:pPr>
    </w:p>
    <w:p>
      <w:pPr>
        <w:ind w:left="1300" w:hanging="644"/>
        <w:spacing w:after="0"/>
        <w:tabs>
          <w:tab w:leader="none" w:pos="1300"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2"/>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Loan Documents may be amended to effect an Incremental Facility pursuant to any Incremental Facility Amendment;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62" w:name="page263"/>
    <w:bookmarkEnd w:id="262"/>
    <w:p>
      <w:pPr>
        <w:ind w:left="660" w:right="20" w:firstLine="644"/>
        <w:spacing w:after="0" w:line="236" w:lineRule="auto"/>
        <w:tabs>
          <w:tab w:leader="none" w:pos="195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with the consent of the Company only, amend, modify or supplement this Agreement or any of the other Loan Documents to cure any ambiguity, omission, mistake, defect or inconsistency;</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Loan Documents may be amended to effect an Extension pursuant to any Extension Amendment;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Loan Documents may be amended by the Company and the Administrative Agent in accordance with clause (f) of the definition of “Specified Debt Conditions” (as in effect on the Effective Date) in connection with the incurrence of any Incremental Equivalent Debt or Ratio Debt.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u w:val="single" w:color="auto"/>
          <w:color w:val="auto"/>
        </w:rPr>
        <w:t>Expenses; Indemnity; Damage Waiver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08" w:lineRule="auto"/>
        <w:tabs>
          <w:tab w:leader="none" w:pos="1293"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(i) all reasonable and documented out-of-pocket expenses incurred by each of the Administrative Agent and its Affiliates, including the reasonable fees, charges and disbursements of one (1) primary counsel for the Administrative Agent and one (1) local counsel to the Administrative Agent in each relevant jurisdiction (excluding in-house counsel), if necessary, in connection with the syndication and distribution (including, without limitation, via the internet or through an Approved Electronic Platform or Approved Borrower Portal)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and (iii) all reasonable and documented out-of-pocket expenses incurred by the Administrative Agent, the Issuing Bank or any Lender, including the fees, charges and disbursements of any counsel for the Administrative Agent, the Issuing Bank or any Lender (limited to, in the case of legal expenses, the fees, charges and disbursements of one (1) primary counsel for the Lenders, taken as a whole, and solely in the event of an actual or reasonably perceived conflict of interest and after written notice to the Company regarding such actual or perceived conflict of interest, one (1) additional counsel for the Lenders, taken as a whole), in connection with the enforcement, collection or protection of its rights in connection with the Loan Documents, including its rights under this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60"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(i) neither any Borrower nor any Loan Party shall assert any claim against any claim against the Administrative Agent, any Arranger, any Syndication Agent, any Co-Documentation Agent, any Issuing Bank and any Lender, and any Related Party of any of the foregoing Persons (each such Person being called a “</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any Liabilities against any other party hereto, on any theory of liability, for special, indirect, consequential or punitive damages (as opposed to direct or actual damages) arising out of, in connection with, or as a result of, this Agreement, any other Loan Document, the Transactions, any Loan or Letter of Credit or the use of the proceeds thereof; provided that, nothing in this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 xml:space="preserve"> shall relieve any Borrower or any Loan Party of any obligation it may have to indemnify an Indemnitee, as provided in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against any special, indirect, consequential or punitive damages asserted against such Indemnitee by a third party.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63" w:name="page264"/>
    <w:bookmarkEnd w:id="263"/>
    <w:p>
      <w:pPr>
        <w:jc w:val="both"/>
        <w:ind w:firstLine="656"/>
        <w:spacing w:after="0" w:line="226" w:lineRule="auto"/>
        <w:tabs>
          <w:tab w:leader="none" w:pos="1293"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indemnify the Administrative Agent, each Arranger, each Syndication Agent, each Co-Documentation Agent, each Issuing Bank and each Lender,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against, and hold each Indemnitee harmless from, any and all Liabilities and related expenses (limited to, in the case of legal expenses, the fees, charges and disbursements of one (1) primary counsel for the Indemnitees, taken as a whole, one (1) local counsel in each jurisdiction where proceedings are held, and solely in the event of an actual or reasonably perceived conflict of interest and after written notice to the Company regarding such actual or perceived conflict of interest, one (1) additional counsel for the Indemnitees, taken as a whole) for such Indemnitee incurred by or asserted against any Indemnitee arising out of, in connection with, or as a result of (i) the execution and delivery of the Loan Documents and any agreement or instrument contemplated thereby, (ii) the funding of any Loan or the issuance of any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 or omission of the Administrative Agent in connection with the administration of the Loan Documents, (iv) any actual or alleged presence or Release of Hazardous Materials on or from any property owned or operated by a Loan Party or a Subsidiary, or any Environmental Liability related in any way to a Loan Party or a Subsidiary prior to foreclosure of such property,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(x) the bad faith, gross negligence or willful misconduct of such Indemnitee, (y) a material breach of the Loan Documents by an Indemnitee, or (z) any dispute that does not involve an act or omission by any Borrower, any Subsidiary or any of their Affiliates and that is between and among Indemnitees (other than an Indemnitee in its capacity as an Arranger, Issuing Bank, Swingline Lender or the Administrative Agent or any other similar role with respect to the Loan Documents). This </w:t>
      </w:r>
      <w:r>
        <w:rPr>
          <w:rFonts w:ascii="Times New Roman" w:cs="Times New Roman" w:eastAsia="Times New Roman" w:hAnsi="Times New Roman"/>
          <w:sz w:val="21"/>
          <w:szCs w:val="21"/>
          <w:u w:val="single" w:color="auto"/>
          <w:color w:val="auto"/>
        </w:rPr>
        <w:t>Section 9.03(c)</w:t>
      </w:r>
      <w:r>
        <w:rPr>
          <w:rFonts w:ascii="Times New Roman" w:cs="Times New Roman" w:eastAsia="Times New Roman" w:hAnsi="Times New Roman"/>
          <w:sz w:val="21"/>
          <w:szCs w:val="21"/>
          <w:color w:val="auto"/>
        </w:rPr>
        <w:t xml:space="preserve"> shall not apply with respect to Taxes other than any Taxes that represent losses or damages arising from any non-Tax claim.</w:t>
      </w:r>
    </w:p>
    <w:p>
      <w:pPr>
        <w:spacing w:after="0" w:line="169" w:lineRule="exact"/>
        <w:rPr>
          <w:rFonts w:ascii="Times New Roman" w:cs="Times New Roman" w:eastAsia="Times New Roman" w:hAnsi="Times New Roman"/>
          <w:sz w:val="21"/>
          <w:szCs w:val="21"/>
          <w:color w:val="auto"/>
        </w:rPr>
      </w:pPr>
    </w:p>
    <w:p>
      <w:pPr>
        <w:jc w:val="both"/>
        <w:ind w:firstLine="656"/>
        <w:spacing w:after="0" w:line="219" w:lineRule="auto"/>
        <w:tabs>
          <w:tab w:leader="none" w:pos="1291"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severally agrees to pay any amount required to be paid by any Loan Party under paragraphs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to the Administrative Agent and each Revolving Lender severally agrees to pay to the Swingline Lender and each Issuing Bank, and each Related Party of any of the foregoing Persons (each, an “</w:t>
      </w:r>
      <w:r>
        <w:rPr>
          <w:rFonts w:ascii="Times New Roman" w:cs="Times New Roman" w:eastAsia="Times New Roman" w:hAnsi="Times New Roman"/>
          <w:sz w:val="21"/>
          <w:szCs w:val="21"/>
          <w:u w:val="single" w:color="auto"/>
          <w:color w:val="auto"/>
        </w:rPr>
        <w:t>Agent-Related Person</w:t>
      </w:r>
      <w:r>
        <w:rPr>
          <w:rFonts w:ascii="Times New Roman" w:cs="Times New Roman" w:eastAsia="Times New Roman" w:hAnsi="Times New Roman"/>
          <w:sz w:val="21"/>
          <w:szCs w:val="21"/>
          <w:color w:val="auto"/>
        </w:rPr>
        <w:t xml:space="preserve">”) (to the extent not reimbursed by the Loan Parties and without limiting the obligation of any Loan Party to do so), ratably according to their respective Applicable Percentage in effect on the date on which such payment is sought under this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Lender shall be liable for the payment of any portion of such Liabilities, costs, expenses or disbursements that are found by a final and non-appealable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64" w:name="page265"/>
    <w:bookmarkEnd w:id="264"/>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decision of a court of competent jurisdiction to have resulted primarily from such Agent-Related Person’s gross negligence or willful misconduct. The agreements in this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shall survive the termination of this Agreement and the Payment in Full of the Obligations.</w:t>
      </w:r>
    </w:p>
    <w:p>
      <w:pPr>
        <w:spacing w:after="0" w:line="153" w:lineRule="exact"/>
        <w:rPr>
          <w:sz w:val="20"/>
          <w:szCs w:val="20"/>
          <w:color w:val="auto"/>
        </w:rPr>
      </w:pPr>
    </w:p>
    <w:p>
      <w:pPr>
        <w:ind w:right="20" w:firstLine="656"/>
        <w:spacing w:after="0" w:line="236" w:lineRule="auto"/>
        <w:tabs>
          <w:tab w:leader="none" w:pos="1293"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All amounts due under this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shall be payable within thirty (30) days after receipt of a written invoice therefor with reasonably detailed backup.</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9.04</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and, to the extent expressly contemplated hereby, the Related Parties of each of the Administrative Agent, the Issuing Bank and the Lenders) any legal or equitable right, remedy or claim under or by reason of this Agreement.</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Subject to the conditions set forth in paragraph </w:t>
      </w:r>
      <w:r>
        <w:rPr>
          <w:rFonts w:ascii="Times New Roman" w:cs="Times New Roman" w:eastAsia="Times New Roman" w:hAnsi="Times New Roman"/>
          <w:sz w:val="22"/>
          <w:szCs w:val="22"/>
          <w:u w:val="single" w:color="auto"/>
          <w:color w:val="auto"/>
        </w:rPr>
        <w:t>(b)(ii)</w:t>
      </w:r>
      <w:r>
        <w:rPr>
          <w:rFonts w:ascii="Times New Roman" w:cs="Times New Roman" w:eastAsia="Times New Roman" w:hAnsi="Times New Roman"/>
          <w:sz w:val="22"/>
          <w:szCs w:val="22"/>
          <w:color w:val="auto"/>
        </w:rPr>
        <w:t xml:space="preserve">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3"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be deemed to have consented to an assignment unless it shall object thereto by written notice to the Administrative Agent within ten (10) Business Days after having received notice thereof,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consent of the Company shall be required for an assignment to a Lender or, if a Specified Event of Default has occurred and is continuing, any other Eligible Assignee;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5"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provided that no consent of the Administrative Agent shall be required for an assignment of a Revolving Commitment or Revolving Loan to an assignee that is a Lender (other than a Defaulting Lender) with a Revolving Commitment immediately prior to giving effect to such assignment;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5"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Issuing Bank shall be required if (I) an Event of Default has occurred with respect to a Borrower under Section 7.01(h) or (i) and (II) the Issuing Bank has no outstanding Letters of Credit at that time;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3"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Swingline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Swingline Lender shall be required if (I) an Event of Default has occurred with respect to a Borrower under Section 7.01(h) or (i) and (II) the Swingline Lender has no outstanding Swingline Loans at that time.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65" w:name="page266"/>
    <w:bookmarkEnd w:id="265"/>
    <w:p>
      <w:pPr>
        <w:jc w:val="both"/>
        <w:ind w:left="660" w:firstLine="1292"/>
        <w:spacing w:after="0" w:line="215" w:lineRule="auto"/>
        <w:tabs>
          <w:tab w:leader="none" w:pos="259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$10,000,000, unless each of the Company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Company shall be required if a Specified Event of Default has occurred and is continuing;</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5"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shall not be construed to prohibit the assignment of a proportionate part of all the assigning Lender’s rights and obligations in respect of one Class of Commitments or Loans;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31" w:lineRule="auto"/>
        <w:tabs>
          <w:tab w:leader="none" w:pos="2595"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50" w:lineRule="exact"/>
        <w:rPr>
          <w:rFonts w:ascii="Times New Roman" w:cs="Times New Roman" w:eastAsia="Times New Roman" w:hAnsi="Times New Roman"/>
          <w:sz w:val="21"/>
          <w:szCs w:val="21"/>
          <w:color w:val="auto"/>
        </w:rPr>
      </w:pPr>
    </w:p>
    <w:p>
      <w:pPr>
        <w:jc w:val="both"/>
        <w:ind w:left="660" w:firstLine="1292"/>
        <w:spacing w:after="0" w:line="217" w:lineRule="auto"/>
        <w:tabs>
          <w:tab w:leader="none" w:pos="259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9.04(b)</w:t>
      </w:r>
      <w:r>
        <w:rPr>
          <w:rFonts w:ascii="Times New Roman" w:cs="Times New Roman" w:eastAsia="Times New Roman" w:hAnsi="Times New Roman"/>
          <w:sz w:val="22"/>
          <w:szCs w:val="22"/>
          <w:color w:val="auto"/>
        </w:rPr>
        <w:t>, the terms “</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Ineligible Institution</w:t>
      </w:r>
      <w:r>
        <w:rPr>
          <w:rFonts w:ascii="Times New Roman" w:cs="Times New Roman" w:eastAsia="Times New Roman" w:hAnsi="Times New Roman"/>
          <w:sz w:val="22"/>
          <w:szCs w:val="22"/>
          <w:color w:val="auto"/>
        </w:rPr>
        <w:t>” have the following meanings:</w:t>
      </w:r>
    </w:p>
    <w:p>
      <w:pPr>
        <w:spacing w:after="0" w:line="158" w:lineRule="exact"/>
        <w:rPr>
          <w:sz w:val="20"/>
          <w:szCs w:val="20"/>
          <w:color w:val="auto"/>
        </w:rPr>
      </w:pPr>
    </w:p>
    <w:p>
      <w:pPr>
        <w:jc w:val="both"/>
        <w:ind w:left="660" w:firstLine="644"/>
        <w:spacing w:after="0" w:line="256" w:lineRule="auto"/>
        <w:tabs>
          <w:tab w:leader="none" w:pos="1944"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4" w:lineRule="auto"/>
        <w:tabs>
          <w:tab w:leader="none" w:pos="1950"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Ineligible Institution</w:t>
      </w:r>
      <w:r>
        <w:rPr>
          <w:rFonts w:ascii="Times New Roman" w:cs="Times New Roman" w:eastAsia="Times New Roman" w:hAnsi="Times New Roman"/>
          <w:sz w:val="21"/>
          <w:szCs w:val="21"/>
          <w:color w:val="auto"/>
        </w:rPr>
        <w:t xml:space="preserve">” means a (a) natural person, (b) a Defaulting Lender or its Lender Parent, (c) holding company, investment vehicle or trust for, or owned and operated for the primary benefit of, a natural person or relative(s)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such holding company, investment vehicle or trust shall not constitute an Ineligible Institution if it (x) has not been established for the primary purpose of acquiring any Loans or Commitments,</w:t>
      </w:r>
    </w:p>
    <w:p>
      <w:pPr>
        <w:jc w:val="both"/>
        <w:ind w:left="660" w:hanging="4"/>
        <w:spacing w:after="0" w:line="245" w:lineRule="auto"/>
        <w:tabs>
          <w:tab w:leader="none" w:pos="1018"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66" w:name="page267"/>
    <w:bookmarkEnd w:id="266"/>
    <w:p>
      <w:pPr>
        <w:ind w:left="304" w:hanging="304"/>
        <w:spacing w:after="0"/>
        <w:tabs>
          <w:tab w:leader="none" w:pos="304"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Loan Party or a Subsidiary or other Affiliate of a Loan Party or (e) any Person that is a Disqualified Lender.</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30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pursuant to paragraph </w:t>
      </w:r>
      <w:r>
        <w:rPr>
          <w:rFonts w:ascii="Times New Roman" w:cs="Times New Roman" w:eastAsia="Times New Roman" w:hAnsi="Times New Roman"/>
          <w:sz w:val="22"/>
          <w:szCs w:val="22"/>
          <w:u w:val="single" w:color="auto"/>
          <w:color w:val="auto"/>
        </w:rPr>
        <w:t>(b)(iv)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2.15, 2.16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xml:space="preserve">). Any assignment or transfer by a Lender of rights or obligations under this Agreement that does not comply with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shall be treated for purposes of this Agreement as a sale by such Lender of a participation in such rights and obligations in accordance with paragraph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4" w:firstLine="644"/>
        <w:spacing w:after="0" w:line="262" w:lineRule="auto"/>
        <w:tabs>
          <w:tab w:leader="none" w:pos="1288"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86" w:lineRule="exact"/>
        <w:rPr>
          <w:rFonts w:ascii="Times New Roman" w:cs="Times New Roman" w:eastAsia="Times New Roman" w:hAnsi="Times New Roman"/>
          <w:sz w:val="21"/>
          <w:szCs w:val="21"/>
          <w:color w:val="auto"/>
        </w:rPr>
      </w:pPr>
    </w:p>
    <w:p>
      <w:pPr>
        <w:jc w:val="both"/>
        <w:ind w:left="4" w:firstLine="644"/>
        <w:spacing w:after="0" w:line="247" w:lineRule="auto"/>
        <w:tabs>
          <w:tab w:leader="none" w:pos="1295"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any written consent to such assignment required by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 2.06(b), 2.17(c)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9.03(c)</w:t>
      </w:r>
      <w:r>
        <w:rPr>
          <w:rFonts w:ascii="Times New Roman" w:cs="Times New Roman" w:eastAsia="Times New Roman" w:hAnsi="Times New Roman"/>
          <w:sz w:val="22"/>
          <w:szCs w:val="22"/>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319405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422" w:right="339" w:bottom="1440" w:gutter="0" w:footer="0" w:header="0"/>
        </w:sectPr>
      </w:pPr>
    </w:p>
    <w:bookmarkStart w:id="267" w:name="page268"/>
    <w:bookmarkEnd w:id="267"/>
    <w:p>
      <w:pPr>
        <w:ind w:left="660"/>
        <w:spacing w:after="0"/>
        <w:rPr>
          <w:sz w:val="20"/>
          <w:szCs w:val="20"/>
          <w:color w:val="auto"/>
        </w:rPr>
      </w:pPr>
      <w:r>
        <w:rPr>
          <w:rFonts w:ascii="Times New Roman" w:cs="Times New Roman" w:eastAsia="Times New Roman" w:hAnsi="Times New Roman"/>
          <w:sz w:val="22"/>
          <w:szCs w:val="22"/>
          <w:color w:val="auto"/>
        </w:rPr>
        <w:t>purposes of this Agreement unless it has been recorded in the Register as provided in this paragraph.</w:t>
      </w:r>
    </w:p>
    <w:p>
      <w:pPr>
        <w:spacing w:after="0" w:line="193" w:lineRule="exact"/>
        <w:rPr>
          <w:sz w:val="20"/>
          <w:szCs w:val="20"/>
          <w:color w:val="auto"/>
        </w:rPr>
      </w:pPr>
    </w:p>
    <w:p>
      <w:pPr>
        <w:jc w:val="both"/>
        <w:ind w:firstLine="656"/>
        <w:spacing w:after="0" w:line="208" w:lineRule="auto"/>
        <w:tabs>
          <w:tab w:leader="none" w:pos="129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or notice to, any Borrower, the Administrative Agent, the Issuing Bank or the Swingline Lender, sell participations to one or more banks or other entities other than an Ineligible Institution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that affects such Participant. Subject to paragraph </w:t>
      </w:r>
      <w:r>
        <w:rPr>
          <w:rFonts w:ascii="Times New Roman" w:cs="Times New Roman" w:eastAsia="Times New Roman" w:hAnsi="Times New Roman"/>
          <w:sz w:val="22"/>
          <w:szCs w:val="22"/>
          <w:u w:val="single" w:color="auto"/>
          <w:color w:val="auto"/>
        </w:rPr>
        <w:t>(c)(ii)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each Borrower agrees that each Participant shall be entitled to the benefits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to the same extent as if it were a Lender and had acquired its interest by assignment pursuant to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9.04 provided</w:t>
      </w:r>
      <w:r>
        <w:rPr>
          <w:rFonts w:ascii="Times New Roman" w:cs="Times New Roman" w:eastAsia="Times New Roman" w:hAnsi="Times New Roman"/>
          <w:sz w:val="22"/>
          <w:szCs w:val="22"/>
          <w:color w:val="auto"/>
        </w:rPr>
        <w:t xml:space="preserve"> that such Participant (A) agrees to be subject to the provisions of </w:t>
      </w:r>
      <w:r>
        <w:rPr>
          <w:rFonts w:ascii="Times New Roman" w:cs="Times New Roman" w:eastAsia="Times New Roman" w:hAnsi="Times New Roman"/>
          <w:sz w:val="22"/>
          <w:szCs w:val="22"/>
          <w:u w:val="single" w:color="auto"/>
          <w:color w:val="auto"/>
        </w:rPr>
        <w:t>Sections 2.17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2.18</w:t>
      </w:r>
      <w:r>
        <w:rPr>
          <w:rFonts w:ascii="Times New Roman" w:cs="Times New Roman" w:eastAsia="Times New Roman" w:hAnsi="Times New Roman"/>
          <w:sz w:val="22"/>
          <w:szCs w:val="22"/>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 xml:space="preserve"> as though it were a Lender; provided such Participant agrees to be subject to </w:t>
      </w:r>
      <w:r>
        <w:rPr>
          <w:rFonts w:ascii="Times New Roman" w:cs="Times New Roman" w:eastAsia="Times New Roman" w:hAnsi="Times New Roman"/>
          <w:sz w:val="22"/>
          <w:szCs w:val="22"/>
          <w:u w:val="single" w:color="auto"/>
          <w:color w:val="auto"/>
        </w:rPr>
        <w:t>Section 2.17(c)</w:t>
      </w:r>
      <w:r>
        <w:rPr>
          <w:rFonts w:ascii="Times New Roman" w:cs="Times New Roman" w:eastAsia="Times New Roman" w:hAnsi="Times New Roman"/>
          <w:sz w:val="22"/>
          <w:szCs w:val="22"/>
          <w:color w:val="auto"/>
        </w:rPr>
        <w:t xml:space="preserve"> as though it were a Lender.</w:t>
      </w:r>
    </w:p>
    <w:p>
      <w:pPr>
        <w:spacing w:after="0" w:line="149" w:lineRule="exact"/>
        <w:rPr>
          <w:sz w:val="20"/>
          <w:szCs w:val="20"/>
          <w:color w:val="auto"/>
        </w:rPr>
      </w:pPr>
    </w:p>
    <w:p>
      <w:pPr>
        <w:jc w:val="both"/>
        <w:ind w:left="660" w:firstLine="644"/>
        <w:spacing w:after="0" w:line="219" w:lineRule="auto"/>
        <w:tabs>
          <w:tab w:leader="none" w:pos="1944"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Participant shall not be entitled to receive any greater payment under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shall not be entitled to the benefits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unless the Company is notified of the participation sold to such Participant and such Participant agrees to comply with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 1(c) of the United States Treasury Regulations. The entries in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68" w:name="page269"/>
    <w:bookmarkEnd w:id="268"/>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2" w:lineRule="exact"/>
        <w:rPr>
          <w:sz w:val="20"/>
          <w:szCs w:val="20"/>
          <w:color w:val="auto"/>
        </w:rPr>
      </w:pPr>
    </w:p>
    <w:p>
      <w:pPr>
        <w:jc w:val="both"/>
        <w:ind w:firstLine="656"/>
        <w:spacing w:after="0" w:line="217" w:lineRule="auto"/>
        <w:tabs>
          <w:tab w:leader="none" w:pos="129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Disqualified Lenders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44"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no assignment or participation shall be made to any Person that was a Disqualified Lender as of the date (the “</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on which the assigning or participating, as applicable,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written supplement to the list of “Disqualified Lenders” referred to in, the definition of “Disqualified Lender”),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shall not be void, but the other provisions of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shall apply.</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19" w:lineRule="auto"/>
        <w:tabs>
          <w:tab w:leader="none" w:pos="1950"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assignment or participation is made to any Disqualified Lender without the Company’s prior written consent in violation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or its Affiliates, or if any Person becomes a Disqualified Lender or an Affiliate thereof after the applicable Trade Date, the Company may, at its sole expense and effort, upon notice to the applicable Disqualified Lender or Affiliate, as applicable, and the Administrative Agent, (A) terminate any Commitment of such Disqualified Lender or Affiliate, as applicable, and repay all obligations of the Borrowers owing to such Disqualified Lender or Affiliate, as applicable, in connection with such Commitment and/or (B) require such Disqualified Lender or Affiliate, as applicable, to assign, without recourse (in accordance with and subject to the restrictions contained in this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all of its interest, rights and obligations under this Agreement to one or more Persons (other than an Ineligible Institution) at the lesser of (x) the par value of the principal amount thereof and (y) the amount that such Disqualified Lender or its Affiliates, as applicable, paid to acquire such interests, rights and obligations, in each case plus accrued interest, accrued fees and all other amounts (other than principal amounts) payable to it hereunder; provided that if any Lender (including any Disqualified Lender or Affiliate thereof that becomes a Lender) does not execute and deliver an Assignment and Assumption to the Administrative Agent within one (1) Business Day after having received a request therefor, such Lender (including any Disqualified Lender or Affiliate thereof that becomes a Lender) hereby grants to the Administrative Agent an irrevocable power of attorney (which power is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69" w:name="page270"/>
    <w:bookmarkEnd w:id="269"/>
    <w:p>
      <w:pPr>
        <w:ind w:right="20"/>
        <w:spacing w:after="0" w:line="236" w:lineRule="auto"/>
        <w:rPr>
          <w:sz w:val="20"/>
          <w:szCs w:val="20"/>
          <w:color w:val="auto"/>
        </w:rPr>
      </w:pPr>
      <w:r>
        <w:rPr>
          <w:rFonts w:ascii="Times New Roman" w:cs="Times New Roman" w:eastAsia="Times New Roman" w:hAnsi="Times New Roman"/>
          <w:sz w:val="22"/>
          <w:szCs w:val="22"/>
          <w:color w:val="auto"/>
        </w:rPr>
        <w:t>coupled with an interest) to execute and deliver, on behalf of such Lender, as assignor, any Assignment and Assumption necessary to effectuate any assignment in full of such Lender’s interests hereunder.</w:t>
      </w:r>
    </w:p>
    <w:p>
      <w:pPr>
        <w:spacing w:after="0" w:line="150" w:lineRule="exact"/>
        <w:rPr>
          <w:sz w:val="20"/>
          <w:szCs w:val="20"/>
          <w:color w:val="auto"/>
        </w:rPr>
      </w:pPr>
    </w:p>
    <w:p>
      <w:pPr>
        <w:jc w:val="both"/>
        <w:ind w:firstLine="644"/>
        <w:spacing w:after="0" w:line="217" w:lineRule="auto"/>
        <w:tabs>
          <w:tab w:leader="none" w:pos="1296"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Agreement, Disqualified Lenders or any of their Affiliates to whom an assignment or participation is made in violation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(A) will not have the right to (x) receive information, reports or other materials provided to Lenders by or on behalf of the Company or any Subsidiary, the Administrative Agent or any other Lender, (y) attend or participate in meetings attended by the Lenders and the Administrative Agent, or (z) access any electronic site (including any Approved Electronic Platform or Approved Borrower Portal) established for the Lenders, the Company or any Subsidiary or confidential communications from counsel to or financial advisors of the Administrative Agent, the Lenders, the Company or any Subsidiary and (B)(x)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or its Affiliates, as applicable, will be deemed to have consented in the same proportion as the Lenders that are not Disqualified Lenders consented to such matter, and (y) for purposes of voting on any plan of reorganization or plan of liquidation including under any Bankruptcy Event, each Disqualified Lender or its Affiliates, as applicable, party hereto hereby agrees (1) not to vote on such plan of reorganization or plan of liquidation, (2) if such Disqualified Lender or its Affiliates, as applicable, does vote on such plan of reorganization or plan of liquidation notwithstanding the restriction in the foregoing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such vote will be deemed not to be in good faith and shall be “designated” pursuant to Section 1126(e) of the Bankruptcy Code (or any similar provision in any other bankruptcy, insolvency or reorganization or relief of debtors or seeking the entry of an order for relief or the appointment of a custodian, receiver, trustee, conservator, liquidating agent, liquidator, other similar official or other official with similar powers or other applicable laws), and such vote shall not be counted in determining whether the applicable class has accepted or rejected such plan of reorganization in accordance with Section 1126(c) of the Bankruptcy Code (or any similar provision in any other U.S. Federal, state or foreign debtor relief laws or other applicable laws) and (3) not to contest any request by any party for a determination by a U.S. federal bankruptcy court (or other applicable court of competent jurisdiction) effectuating the foregoing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jc w:val="both"/>
        <w:ind w:firstLine="644"/>
        <w:spacing w:after="0" w:line="212" w:lineRule="auto"/>
        <w:tabs>
          <w:tab w:leader="none" w:pos="1284"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the right (but not the obligation), and the Company hereby expressly authorizes the Administrative Agent, to provide the list of Disqualified Lenders provided by the Company and any updates thereto from time to time (collectively, the “</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to each Lender or potential Lender requesting the same. The Administrative Agent and the Lenders shall be entitled to rely on a representation from any assignee or participant (or prospective assignee or participant) that such Person is not a Disqualified Lender. Except as set forth in the immediately preceding sentence, in no event shall the Administrative Agent be obligated to ascertain, inquire into or monitor as to whether any Lender or prospective assignee is a Disqualified Lender or enforce compliance with the provisions hereof relating to Disqualified Lenders.</w:t>
      </w:r>
    </w:p>
    <w:p>
      <w:pPr>
        <w:spacing w:after="0" w:line="156"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the Lenders shall not be responsible or have any liability for, or have any duty to ascertain, inquire into, monitor or enforce, compliance with the provisions hereof relating to Disqualified Lenders, other than to deliver to the Company the relevant assignment documentation upon the request of the Company. Without limiting the generality of the foregoing, neither the Administrative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319405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95" w:right="339" w:bottom="1440" w:gutter="0" w:footer="0" w:header="0"/>
        </w:sectPr>
      </w:pPr>
    </w:p>
    <w:bookmarkStart w:id="270" w:name="page271"/>
    <w:bookmarkEnd w:id="270"/>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 Payment in Full of the Obligations. The provisions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9.06</w:t>
      </w:r>
      <w:r>
        <w:rPr>
          <w:sz w:val="20"/>
          <w:szCs w:val="20"/>
          <w:color w:val="auto"/>
        </w:rPr>
        <w:tab/>
      </w:r>
      <w:r>
        <w:rPr>
          <w:rFonts w:ascii="Times New Roman" w:cs="Times New Roman" w:eastAsia="Times New Roman" w:hAnsi="Times New Roman"/>
          <w:sz w:val="21"/>
          <w:szCs w:val="21"/>
          <w:u w:val="single" w:color="auto"/>
          <w:color w:val="auto"/>
        </w:rPr>
        <w:t>Counterparts; Integration; Effectiveness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9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58"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1" w:name="page272"/>
    <w:bookmarkEnd w:id="271"/>
    <w:p>
      <w:pPr>
        <w:jc w:val="both"/>
        <w:spacing w:after="0" w:line="217" w:lineRule="auto"/>
        <w:rPr>
          <w:sz w:val="20"/>
          <w:szCs w:val="20"/>
          <w:color w:val="auto"/>
        </w:rPr>
      </w:pPr>
      <w:r>
        <w:rPr>
          <w:rFonts w:ascii="Times New Roman" w:cs="Times New Roman" w:eastAsia="Times New Roman" w:hAnsi="Times New Roman"/>
          <w:sz w:val="21"/>
          <w:szCs w:val="21"/>
          <w:color w:val="auto"/>
        </w:rPr>
        <w:t>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spacing w:after="0" w:line="16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9.08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xml:space="preserve">. If an Event of Default shall have occurred and be continuing, each Lender, each Issuing Bank, and each of their respective Affiliates is hereby authorized at any time and from time to time, upon the receipt of the written consent of the Administrative Agent,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Loan Party against any and all of the Obligations owing to such Lender or such Issuing Bank or their respective Affiliates (for the avoidance of doubt, it is acknowledged and agreed that with respect to any Foreign Subsidiary Borrower any exercise of a right of setoff by a Lender against the account of such Foreign Subsidiary Borrower shall be limited to the Obligations described in the last sentence of Section 2.09(a)),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shall exercise any such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2" w:name="page273"/>
    <w:bookmarkEnd w:id="272"/>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applicable Lender, the Issuing Bank or such Affiliate shall notify the Company and the Administrative Agent of such setoff or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or application under this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 xml:space="preserve">. The rights of each Lender, each Issuing Bank and their respective Affiliates under this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 xml:space="preserve"> are in addition to other rights and remedies (including other rights of setoff) that such Lender, such Issuing Bank or their respective Affiliates may have.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9.09</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Documents (other than those containing a contrary express choice of law provision) shall be governed by and construed in accordance with the laws of the State of New York, but giving effect to federal laws applicable to national banks. Each of the Lenders and the Administrative Agent hereby irrevocably and unconditionally agrees that, notwithstanding the governing law provisions of any applicable Loan Document, any claims brought against the Administrative Agent by any Holder of Obligations relating to this Agreement, any other Loan Document or the consummation or administration of the transactions contemplated hereby or thereby shall be construed in accordance with and governed by the law of the State of New York.</w:t>
      </w:r>
    </w:p>
    <w:p>
      <w:pPr>
        <w:spacing w:after="0" w:line="153"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1"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EACH LOAN PARTY AND THE ADMINISTRATIVE AGENT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SUCH PARTIES HERETO HEREBY IRREVOCABLY AND UNCONDITIONALLY AGREES THAT ALL CLAIMS IN RESPECT OF ANY SUCH ACTION OR PROCEEDING MAY BE HEARD AND DETERMINED IN SUCH FEDERAL (TO THE EXTENT PERMITTED BY LAW) OR NEW YORK STATE COURT. EACH OF SUCH PARTIES HERETO AGREES THAT A FINAL JUDGMENT IN ANY SUCH ACTION OR PROCEEDING SHALL BE CONCLUSIVE AND MAY BE ENFORCED IN OTHER JURISDICTIONS BY SUIT ON THE JUDGMENT OR IN ANY OTHER MANNER PROVIDED BY LAW.</w:t>
      </w:r>
    </w:p>
    <w:p>
      <w:pPr>
        <w:spacing w:after="0" w:line="151"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3"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 Each of the parties hereto hereby irrevocably waives, to the fullest extent permitted by law, the defense of an inconvenient forum to the maintenance of such action or proceeding in any such court.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to this Agreement irrevocably consents to service of process in the manner provided for notices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.Each Foreign Subsidiary that is a party hereto irrevocably designates and appoints the Company, as its authorized agent, to accept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3" w:name="page274"/>
    <w:bookmarkEnd w:id="273"/>
    <w:p>
      <w:pPr>
        <w:jc w:val="both"/>
        <w:spacing w:after="0" w:line="218" w:lineRule="auto"/>
        <w:rPr>
          <w:sz w:val="20"/>
          <w:szCs w:val="20"/>
          <w:color w:val="auto"/>
        </w:rPr>
      </w:pPr>
      <w:r>
        <w:rPr>
          <w:rFonts w:ascii="Times New Roman" w:cs="Times New Roman" w:eastAsia="Times New Roman" w:hAnsi="Times New Roman"/>
          <w:sz w:val="21"/>
          <w:szCs w:val="21"/>
          <w:color w:val="auto"/>
        </w:rPr>
        <w:t>acknowledge on its behalf, service of any and all process which may be served in any suit, action or proceeding of the nature referred to in this Section 9.09 in any federal or New York State court sitting in New York City. The Company hereby represents, warrants and confirms that the Company has agreed to accept such appointment. Said designation and appointment shall be irrevocable by each such Foreign Subsidiary until Payment in Full of the Obligations. Each Foreign Subsidiary party thereto hereby consents to process being served in any suit, action or proceeding of the nature referred to in Section 9.09(c) in any federal or New York State court sitting in New York City by service of process upon the Company as provided in this Section 9.09(d); provided that, to the extent lawful and possible, notice of said service upon such agent shall be mailed by registered or certified air mail, postage prepaid, return receipt requested, to the Company and (if applicable to) such Foreign Subsidiary at its address set forth herein or in the Foreign Subsidiary Borrower Agreement pursuant to which such Foreign Subsidiary became a party hereto, as applicable, or to any other address of which such Foreign Subsidiary shall have given written notice to the Administrative Agent (with a copy thereof to the Company). Each Foreign Subsidiary party hereto irrevocably waives, to the fullest extent permitted by law, all claim of error by reason of any such service in such manner and agrees that such service shall be deemed in every respect effective service of process upon such Foreign Subsidiary in any such suit, action or proceeding and shall, to the fullest extent permitted by law, be taken and held to be valid and personal service upon and personal delivery to such Foreign Subsidiary. To the extent any Foreign Subsidiary party hereto has or hereafter may acquire any immunity from jurisdiction of any court or from any legal process (whether from service or notice, attachment prior to judgment, attachment in aid of execution of a judgment, execution or otherwise), each Foreign Subsidiary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52" w:lineRule="exact"/>
        <w:rPr>
          <w:sz w:val="20"/>
          <w:szCs w:val="20"/>
          <w:color w:val="auto"/>
        </w:rPr>
      </w:pPr>
    </w:p>
    <w:p>
      <w:pPr>
        <w:jc w:val="both"/>
        <w:ind w:firstLine="656"/>
        <w:spacing w:after="0" w:line="211" w:lineRule="auto"/>
        <w:tabs>
          <w:tab w:leader="none" w:pos="129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UCC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2"/>
          <w:szCs w:val="22"/>
          <w:color w:val="auto"/>
        </w:rPr>
        <w:t xml:space="preserve">AMONG OTHER THINGS, THE MUTUAL WAIVERS AND CERTIFICATIONS IN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3"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Each of the Administrative Agent, the Issuing Bank and the Lenders agrees to maintain the confidentiality of the Information (as defined below), except that Information may be disclosed (a) to its Related Parties, including accountants, legal counsel and other advisors on a “need-to-know” basis (it being understood that the Persons to whom such disclosure is made will be informed of the confidential nature of such Information and instructed to keep such Information confidential and the Administrative Agent, the Issuing Bank and the Lenders shall be responsible for the compliance with this paragraph by its Related Parties), (b) to the extent requested by any Governmental Authority (including any self-regulatory authority, such as the National Association of Insurance Commissioners) (in which case, to the extent permitted by law, the party in receipt of such request shall promptly inform the Company in advance other than in connection with any examination of the financial condition or other routine examination of such Lender), (c) as may be compelled in a judicial or administrative proceeding or to the extent required by any Requirement of Law or by any subpoena or similar legal process (in which case, to the extent permitted by applicable law, the party in receipt of such request shall promptly inform the Company in advance),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to (i) any Eligible Assignee of or Participant in, or any prospective Eligible Assignee of or Participant in, any of its rights or obligations under this Agreement (it being understood that the DQ List may be disclosed to any assignee or Participant, or prospective assignee or Participant, in reliance on this clause (f)), (ii) potential or actual credit insurers and credit reinsurers in connection with providing insurance, reinsurance or credit risk mitigation coverage under which payments are to be made or may be made by reference to this Agreement, or (iii) any direct, indirect, actual or prospective counterparty (or its advisors) to any swap, securitization, derivative or other transaction under which payments are to be made or may be made by reference to the Company, its Restricted Subsidiaries and their respective obligations, the Agreement or payments under the Agreement, (g) with the prior written consent of the Company or (h) to the extent such Information (i) becomes publicly available other than as a result of a breach of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or (ii) becomes available to the Administrative Agent, the Issuing Bank or any Lender on a non-confidential basis from a source other than the Company or any Person who is known to the Administrative Agent, the Issuing Bank or any Lender to have confidentiality obligations to the Company. For the purposes of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all information received from or on behalf of any Loan Party with respect to the Company or any of its Subsidiaries or any of its or their business, other than any such information that is available to the Administrative Agent, the Issuing Bank or any Lender on a non-confidential basis prior to disclosure by the Company or any of its Subsidiaries and other than information pertaining to this Agreement provided by arrangers to data service providers, including league table providers, that serve the lending industry. Any Person required to maintain the confidentiality of Information as provided in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shall be considered to have complied with its obligation to do so if such Person has exercised the same degree of care to maintain the confidentiality of such Information as such Person would accord to its own confidential information. 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to the extent that any such prohibition on disclosure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-1936115</wp:posOffset>
            </wp:positionV>
            <wp:extent cx="27800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2780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2"/>
          <w:szCs w:val="22"/>
          <w:color w:val="auto"/>
        </w:rPr>
        <w:t>forth in this Section 9.12 shall be prohibited by the laws or regulations applicable to such Regulatory Authority.</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EACH LENDER ACKNOWLEDGES THAT INFORMATION AS DEFINED IN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xml:space="preserve"> FURNISHED TO IT PURSUANT TO THIS AGREEMENT MAY INCLUDE MATERIAL NON-PUBLIC INFORMATION CONCERNING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ALL INFORMATION, INCLUDING REQUESTS FOR WAIVERS AND AMENDMENTS, FURNISHED BY THE BORROWERS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Notwithstanding anything in this </w:t>
      </w:r>
      <w:r>
        <w:rPr>
          <w:rFonts w:ascii="Times New Roman" w:cs="Times New Roman" w:eastAsia="Times New Roman" w:hAnsi="Times New Roman"/>
          <w:sz w:val="21"/>
          <w:szCs w:val="21"/>
          <w:u w:val="single" w:color="auto"/>
          <w:color w:val="auto"/>
        </w:rPr>
        <w:t>Section 9.12</w:t>
      </w:r>
      <w:r>
        <w:rPr>
          <w:rFonts w:ascii="Times New Roman" w:cs="Times New Roman" w:eastAsia="Times New Roman" w:hAnsi="Times New Roman"/>
          <w:sz w:val="21"/>
          <w:szCs w:val="21"/>
          <w:color w:val="auto"/>
        </w:rPr>
        <w:t xml:space="preserve"> to the contrary, (x) to the extent any legal counsel, independent auditors, professionals and other experts or agents of a Lender receives any Information, such legal counsel, independent auditors, professionals and other experts or agents shall sign an undertaking that they will treat such Information as confidential (subject to certain customary exceptions) unless there are established and enforceable codes of professional conduct governing the confidential treatment of such Information so received and (y) in no event shall any disclosure of any Information be made to a Person that is a Disqualified Lender at the time of disclosure.</w:t>
      </w:r>
    </w:p>
    <w:p>
      <w:pPr>
        <w:spacing w:after="0" w:line="16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Several Obligations; Nonreliance; Violation of Law</w:t>
      </w:r>
      <w:r>
        <w:rPr>
          <w:rFonts w:ascii="Times New Roman" w:cs="Times New Roman" w:eastAsia="Times New Roman" w:hAnsi="Times New Roman"/>
          <w:sz w:val="22"/>
          <w:szCs w:val="22"/>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any Borrower in violation of any Requirement of Law.</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herein to the contrary, if at any time the interest rate applicable to any Loan, together with all fees, charges and other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6" w:name="page277"/>
    <w:bookmarkEnd w:id="276"/>
    <w:p>
      <w:pPr>
        <w:jc w:val="both"/>
        <w:spacing w:after="0" w:line="212" w:lineRule="auto"/>
        <w:rPr>
          <w:sz w:val="20"/>
          <w:szCs w:val="20"/>
          <w:color w:val="auto"/>
        </w:rPr>
      </w:pPr>
      <w:r>
        <w:rPr>
          <w:rFonts w:ascii="Times New Roman" w:cs="Times New Roman" w:eastAsia="Times New Roman" w:hAnsi="Times New Roman"/>
          <w:sz w:val="22"/>
          <w:szCs w:val="22"/>
          <w:color w:val="auto"/>
        </w:rPr>
        <w:t>amounts which are treated as interest on such Loan under applicable law (collectively the “</w:t>
      </w:r>
      <w:r>
        <w:rPr>
          <w:rFonts w:ascii="Times New Roman" w:cs="Times New Roman" w:eastAsia="Times New Roman" w:hAnsi="Times New Roman"/>
          <w:sz w:val="22"/>
          <w:szCs w:val="22"/>
          <w:u w:val="single" w:color="auto"/>
          <w:color w:val="auto"/>
        </w:rPr>
        <w:t>Interest Rate 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which may be contracted for, charged, taken, received or reserved by the Lender holding such Loan in accordance with applicable law, the rate of interest payable in respect of such Loan hereunder, together with all Interest Rate Charges payable in respect thereof, shall be limited to the Maximum Rate and, to the extent lawful, the interest and Interest Rate Charges that would have been payable in respect of such Loan but were not payable as a result of the operation of this </w:t>
      </w:r>
      <w:r>
        <w:rPr>
          <w:rFonts w:ascii="Times New Roman" w:cs="Times New Roman" w:eastAsia="Times New Roman" w:hAnsi="Times New Roman"/>
          <w:sz w:val="22"/>
          <w:szCs w:val="22"/>
          <w:u w:val="single" w:color="auto"/>
          <w:color w:val="auto"/>
        </w:rPr>
        <w:t>Section 9.15</w:t>
      </w:r>
      <w:r>
        <w:rPr>
          <w:rFonts w:ascii="Times New Roman" w:cs="Times New Roman" w:eastAsia="Times New Roman" w:hAnsi="Times New Roman"/>
          <w:sz w:val="22"/>
          <w:szCs w:val="22"/>
          <w:color w:val="auto"/>
        </w:rPr>
        <w:t xml:space="preserve"> shall be cumulated and the interest and Interest Rate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Each Borrower and each Lender hereby acknowledges and agrees that the Administrative Agent and/or its Affiliates from time to time may hold investments in, make other loans to or have other relationships with any of the Company, its Subsidiaries and their respective Affiliates.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9.17</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9.18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2" w:lineRule="exact"/>
        <w:rPr>
          <w:sz w:val="20"/>
          <w:szCs w:val="20"/>
          <w:color w:val="auto"/>
        </w:rPr>
      </w:pPr>
    </w:p>
    <w:p>
      <w:pPr>
        <w:ind w:firstLine="656"/>
        <w:spacing w:after="0" w:line="236" w:lineRule="auto"/>
        <w:tabs>
          <w:tab w:leader="none" w:pos="1293"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9.19</w:t>
      </w:r>
      <w:r>
        <w:rPr>
          <w:sz w:val="20"/>
          <w:szCs w:val="20"/>
          <w:color w:val="auto"/>
        </w:rPr>
        <w:tab/>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3" w:lineRule="auto"/>
        <w:tabs>
          <w:tab w:leader="none" w:pos="129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7" w:name="page278"/>
    <w:bookmarkEnd w:id="277"/>
    <w:p>
      <w:pPr>
        <w:spacing w:after="0" w:line="236" w:lineRule="auto"/>
        <w:rPr>
          <w:sz w:val="20"/>
          <w:szCs w:val="20"/>
          <w:color w:val="auto"/>
        </w:rPr>
      </w:pPr>
      <w:r>
        <w:rPr>
          <w:rFonts w:ascii="Times New Roman" w:cs="Times New Roman" w:eastAsia="Times New Roman" w:hAnsi="Times New Roman"/>
          <w:sz w:val="22"/>
          <w:szCs w:val="22"/>
          <w:color w:val="auto"/>
        </w:rPr>
        <w:t>Supported QFC may in fact be stated to be governed by the laws of the State of New York and/or of the United States or any other state of the United States).</w:t>
      </w:r>
    </w:p>
    <w:p>
      <w:pPr>
        <w:spacing w:after="0" w:line="150" w:lineRule="exact"/>
        <w:rPr>
          <w:sz w:val="20"/>
          <w:szCs w:val="20"/>
          <w:color w:val="auto"/>
        </w:rPr>
      </w:pPr>
    </w:p>
    <w:p>
      <w:pPr>
        <w:jc w:val="both"/>
        <w:ind w:firstLine="656"/>
        <w:spacing w:after="0" w:line="209" w:lineRule="auto"/>
        <w:tabs>
          <w:tab w:leader="none" w:pos="129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9.20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9.21</w:t>
      </w:r>
      <w:r>
        <w:rPr>
          <w:sz w:val="20"/>
          <w:szCs w:val="20"/>
          <w:color w:val="auto"/>
        </w:rPr>
        <w:tab/>
      </w:r>
      <w:r>
        <w:rPr>
          <w:rFonts w:ascii="Times New Roman" w:cs="Times New Roman" w:eastAsia="Times New Roman" w:hAnsi="Times New Roman"/>
          <w:sz w:val="21"/>
          <w:szCs w:val="21"/>
          <w:u w:val="single" w:color="auto"/>
          <w:color w:val="auto"/>
        </w:rPr>
        <w:t>No Fiduciary Duty, etc</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0" w:lineRule="auto"/>
        <w:tabs>
          <w:tab w:leader="none" w:pos="1293"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acknowledges and agrees, and acknowledges its Restricted Subsidiaries’ understanding, that no Credit Party will have any obligations under the Loan Documents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57"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further acknowledges and agrees, and acknowledges its Restricted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 Borrower and other companies with which a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8" w:name="page279"/>
    <w:bookmarkEnd w:id="278"/>
    <w:p>
      <w:pPr>
        <w:jc w:val="both"/>
        <w:ind w:firstLine="656"/>
        <w:spacing w:after="0" w:line="222" w:lineRule="auto"/>
        <w:tabs>
          <w:tab w:leader="none" w:pos="1293"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each Borrower acknowledges and agrees, and acknowledges its Restricted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a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15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9.22 </w:t>
      </w:r>
      <w:r>
        <w:rPr>
          <w:rFonts w:ascii="Times New Roman" w:cs="Times New Roman" w:eastAsia="Times New Roman" w:hAnsi="Times New Roman"/>
          <w:sz w:val="22"/>
          <w:szCs w:val="22"/>
          <w:u w:val="single" w:color="auto"/>
          <w:color w:val="auto"/>
        </w:rPr>
        <w:t>Marketing Consent</w:t>
      </w:r>
      <w:r>
        <w:rPr>
          <w:rFonts w:ascii="Times New Roman" w:cs="Times New Roman" w:eastAsia="Times New Roman" w:hAnsi="Times New Roman"/>
          <w:sz w:val="22"/>
          <w:szCs w:val="22"/>
          <w:color w:val="auto"/>
        </w:rPr>
        <w:t>. Each Borrower hereby authorizes JPMCB and its affiliates (collectively, the “</w:t>
      </w:r>
      <w:r>
        <w:rPr>
          <w:rFonts w:ascii="Times New Roman" w:cs="Times New Roman" w:eastAsia="Times New Roman" w:hAnsi="Times New Roman"/>
          <w:sz w:val="22"/>
          <w:szCs w:val="22"/>
          <w:u w:val="single" w:color="auto"/>
          <w:color w:val="auto"/>
        </w:rPr>
        <w:t>JPMCB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at their respective sole expense, and without any prior approval by any Borrower, to include each Borrower’s name and logo in advertising, marketing, tombstones, case studies and training materials, and to give such other publicity to this Agreement as JPMCB Parties may from time to time determine in their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JPMCB Party shall use any information that is not publicly available in any such advertising, marketing, tombstones, case studies and training materials or other publicity. The foregoing authorization shall remain in effect unless (and solely until) such Borrower notifies JPMCB in writing that such authorization is revoked.</w:t>
      </w:r>
    </w:p>
    <w:p>
      <w:pPr>
        <w:spacing w:after="0" w:line="15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Section 9.23 </w:t>
      </w: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Notwithstanding anything to the contrary contained in this Agreement or any other Loan Document, in the event of a conflict between the terms and conditions of (a) this Agreement and any other Loan Document (other than an intercreditor agreement (including any Subordination Agreement)), the terms and conditions of this Agreement shall control and (b) this Agreement and an intercreditor agreement in form and substance reasonably satisfactory to the Required Lenders (including any Subordination Agreement), the terms and conditions of such intercreditor agreement shall control.</w:t>
      </w:r>
    </w:p>
    <w:p>
      <w:pPr>
        <w:spacing w:after="0" w:line="15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9.24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any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2"/>
          <w:szCs w:val="22"/>
          <w:b w:val="1"/>
          <w:bCs w:val="1"/>
          <w:i w:val="1"/>
          <w:iCs w:val="1"/>
          <w:color w:val="auto"/>
        </w:rPr>
        <w:t>Judgment 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b w:val="1"/>
          <w:bCs w:val="1"/>
          <w:i w:val="1"/>
          <w:iCs w:val="1"/>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applicable Borrower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79" w:name="page280"/>
    <w:bookmarkEnd w:id="279"/>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9.25 </w:t>
      </w:r>
      <w:r>
        <w:rPr>
          <w:rFonts w:ascii="Times New Roman" w:cs="Times New Roman" w:eastAsia="Times New Roman" w:hAnsi="Times New Roman"/>
          <w:sz w:val="22"/>
          <w:szCs w:val="22"/>
          <w:u w:val="single" w:color="auto"/>
          <w:color w:val="auto"/>
        </w:rPr>
        <w:t>Borrower Representative</w:t>
      </w:r>
      <w:r>
        <w:rPr>
          <w:rFonts w:ascii="Times New Roman" w:cs="Times New Roman" w:eastAsia="Times New Roman" w:hAnsi="Times New Roman"/>
          <w:sz w:val="22"/>
          <w:szCs w:val="22"/>
          <w:color w:val="auto"/>
        </w:rPr>
        <w:t>. Each Borrower hereby designates the Company as its representative and agent for all purposes under the Loan Documents (in such capacity, the “</w:t>
      </w:r>
      <w:r>
        <w:rPr>
          <w:rFonts w:ascii="Times New Roman" w:cs="Times New Roman" w:eastAsia="Times New Roman" w:hAnsi="Times New Roman"/>
          <w:sz w:val="22"/>
          <w:szCs w:val="22"/>
          <w:u w:val="single" w:color="auto"/>
          <w:color w:val="auto"/>
        </w:rPr>
        <w:t>Borrower Representative</w:t>
      </w:r>
      <w:r>
        <w:rPr>
          <w:rFonts w:ascii="Times New Roman" w:cs="Times New Roman" w:eastAsia="Times New Roman" w:hAnsi="Times New Roman"/>
          <w:sz w:val="22"/>
          <w:szCs w:val="22"/>
          <w:color w:val="auto"/>
        </w:rPr>
        <w:t>”), including requests for Loans and Letters of Credit, designation of interest rates, delivery or receipt of communications, preparation and delivery of financial reports, receipt and payment of Obligations, requests for waivers, amendments or other accommodations, actions under the Loan Documents (including in respect of compliance with covenants), and all other dealings with the Administrative Agent or any Lender. The Borrower Representative hereby accepts such appointment. The Administrative Agent and the Lenders shall be entitled to rely upon, and shall be fully protected in relying upon, any notice or communication (including any Borrowing Request) delivered by Borrower Representative on behalf of any Borrower. The Administrative Agent and the Lenders may give any notice to or communication with a Borrower hereunder to the Borrower Representative on behalf of such Borrower. The Administrative Agent and the Lenders each shall have the right, in its discretion, to deal exclusively with the Borrower Representative for any or all purposes under the Loan Documents. Each Borrower agrees that any notice, election, communication, representation, agreement or undertaking made on its behalf by the Borrower Representative shall be binding upon and enforceable against it.</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9.26 </w:t>
      </w:r>
      <w:r>
        <w:rPr>
          <w:rFonts w:ascii="Times New Roman" w:cs="Times New Roman" w:eastAsia="Times New Roman" w:hAnsi="Times New Roman"/>
          <w:sz w:val="22"/>
          <w:szCs w:val="22"/>
          <w:u w:val="single" w:color="auto"/>
          <w:color w:val="auto"/>
        </w:rPr>
        <w:t>Release of Guarantors</w:t>
      </w:r>
      <w:r>
        <w:rPr>
          <w:rFonts w:ascii="Times New Roman" w:cs="Times New Roman" w:eastAsia="Times New Roman" w:hAnsi="Times New Roman"/>
          <w:sz w:val="22"/>
          <w:szCs w:val="22"/>
          <w:color w:val="auto"/>
        </w:rPr>
        <w:t>. Notwithstanding anything in this Agreement or any other Loan Document to the contrary:</w:t>
      </w:r>
    </w:p>
    <w:p>
      <w:pPr>
        <w:spacing w:after="0" w:line="150" w:lineRule="exact"/>
        <w:rPr>
          <w:sz w:val="20"/>
          <w:szCs w:val="20"/>
          <w:color w:val="auto"/>
        </w:rPr>
      </w:pPr>
    </w:p>
    <w:p>
      <w:pPr>
        <w:jc w:val="both"/>
        <w:ind w:firstLine="656"/>
        <w:spacing w:after="0" w:line="208" w:lineRule="auto"/>
        <w:tabs>
          <w:tab w:leader="none" w:pos="129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Guarantor shall automatically be released from its obligations under each Loan Document to which it is a party upon the (x) consummation of any transaction permitted by this Agreement as a result of which such Guarantor ceases to be a Restricted Subsidiary or (y) the designation of such Guarantor as an Unrestricted Subsidiary pursuant to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so required by this Agreement, the Required Lenders shall have consented to such transaction and the terms of such consent shall not have provided otherwise. Further, the Administrative Agent will (and is hereby irrevocably authorized by each Lender to), upon the request of the Company, release any Guarantor from its obligations under each Loan Document to which such Guarantor is a party if such Guarantor constitutes an Excluded Subsidiary (other than an Excluded Subsidiary of the type described in clause (a)(i) of the definition thereof, unless (i) such Restricted Subsidiary either (A) becomes a non-Wholly-Owned Subsidiary pursuant to a bona fide equity investment by a non-Affiliate third-party or (B) becomes a bona fide Joint Venture with a non-Affiliated third party as determined in good faith by the Company in consultation with the Administrative Agent, and (ii) after giving effect on a Pro Forma Basis to the consummation of the relevant transaction and the release of such Guarantor, the Company is deemed to have made a new Investment in such non-Wholly-Owned Subsidiary or Joint Venture, as the case may be (as if such Person was then newly acquired) equal to the fair market value of such released Guarantor and such Investment is permitted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release shall occur if such Guarantor continues (after giving effect to the consummation of such transaction or designation) to Guarantee or provide any Material Credit Support in respect of any Material Indebtedness, Incremental Equivalent Debt, Ratio Debt or Subordinated Debt of the Company or any Subsidiary or for any Indebtedness of an Unrestricted Subsidiary, in each case, except to the extent such Guarantee is a Standard Securitization Undertaking.</w:t>
      </w:r>
    </w:p>
    <w:p>
      <w:pPr>
        <w:spacing w:after="0" w:line="157"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in Full of all Obligations, all obligations (other than those expressly stated to survive such termination) of each Guarantor under the Loan Documents to which it is a party shall automatically terminate, all without delivery of any instrument or performance of any act by any Person.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termination or release pursuant to this Section, the Administrative Agent shall (and is hereby irrevocably authorized by each Lender to) execute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80" w:name="page281"/>
    <w:bookmarkEnd w:id="280"/>
    <w:p>
      <w:pPr>
        <w:jc w:val="both"/>
        <w:spacing w:after="0" w:line="225" w:lineRule="auto"/>
        <w:rPr>
          <w:sz w:val="20"/>
          <w:szCs w:val="20"/>
          <w:color w:val="auto"/>
        </w:rPr>
      </w:pPr>
      <w:r>
        <w:rPr>
          <w:rFonts w:ascii="Times New Roman" w:cs="Times New Roman" w:eastAsia="Times New Roman" w:hAnsi="Times New Roman"/>
          <w:sz w:val="22"/>
          <w:szCs w:val="22"/>
          <w:color w:val="auto"/>
        </w:rPr>
        <w:t>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Intentionally Omitted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line="305" w:lineRule="auto"/>
        <w:rPr>
          <w:sz w:val="20"/>
          <w:szCs w:val="20"/>
          <w:color w:val="auto"/>
        </w:rPr>
      </w:pPr>
      <w:r>
        <w:rPr>
          <w:rFonts w:ascii="Times New Roman" w:cs="Times New Roman" w:eastAsia="Times New Roman" w:hAnsi="Times New Roman"/>
          <w:sz w:val="20"/>
          <w:szCs w:val="20"/>
          <w:b w:val="1"/>
          <w:bCs w:val="1"/>
          <w:color w:val="auto"/>
        </w:rPr>
        <w:t>CERTIFICATION OF CHIEF EXECUTIVE OFFICER PURSUANT TO RULE 13A-14(A) UNDER THE SECURITIES EXCHANGE ACT OF 1934,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McKeel O Hagerty, certify that:</w:t>
      </w:r>
    </w:p>
    <w:p>
      <w:pPr>
        <w:spacing w:after="0" w:line="297" w:lineRule="exact"/>
        <w:rPr>
          <w:sz w:val="20"/>
          <w:szCs w:val="20"/>
          <w:color w:val="auto"/>
        </w:rPr>
      </w:pPr>
    </w:p>
    <w:p>
      <w:pPr>
        <w:ind w:left="360" w:hanging="352"/>
        <w:spacing w:after="0"/>
        <w:tabs>
          <w:tab w:leader="none" w:pos="3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Hagerty, Inc. for the quarterly period ended September 30, 2026;</w:t>
      </w:r>
    </w:p>
    <w:p>
      <w:pPr>
        <w:spacing w:after="0" w:line="283" w:lineRule="exact"/>
        <w:rPr>
          <w:rFonts w:ascii="Times New Roman" w:cs="Times New Roman" w:eastAsia="Times New Roman" w:hAnsi="Times New Roman"/>
          <w:sz w:val="20"/>
          <w:szCs w:val="20"/>
          <w:color w:val="auto"/>
        </w:rPr>
      </w:pPr>
    </w:p>
    <w:p>
      <w:pPr>
        <w:ind w:right="140" w:firstLine="8"/>
        <w:spacing w:after="0" w:line="303" w:lineRule="auto"/>
        <w:tabs>
          <w:tab w:leader="none" w:pos="346"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Times New Roman" w:cs="Times New Roman" w:eastAsia="Times New Roman" w:hAnsi="Times New Roman"/>
          <w:sz w:val="20"/>
          <w:szCs w:val="20"/>
          <w:color w:val="auto"/>
        </w:rPr>
      </w:pPr>
    </w:p>
    <w:p>
      <w:pPr>
        <w:ind w:right="320" w:firstLine="8"/>
        <w:spacing w:after="0" w:line="340" w:lineRule="auto"/>
        <w:tabs>
          <w:tab w:leader="none" w:pos="346"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9"/>
          <w:szCs w:val="19"/>
          <w:color w:val="auto"/>
        </w:rPr>
      </w:pPr>
    </w:p>
    <w:p>
      <w:pPr>
        <w:ind w:right="20" w:firstLine="8"/>
        <w:spacing w:after="0" w:line="303" w:lineRule="auto"/>
        <w:tabs>
          <w:tab w:leader="none" w:pos="34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20"/>
          <w:szCs w:val="20"/>
          <w:color w:val="auto"/>
        </w:rPr>
      </w:pPr>
    </w:p>
    <w:p>
      <w:pPr>
        <w:ind w:left="660" w:right="40" w:hanging="4"/>
        <w:spacing w:after="0" w:line="303" w:lineRule="auto"/>
        <w:tabs>
          <w:tab w:leader="none" w:pos="1012"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95" w:lineRule="exact"/>
        <w:rPr>
          <w:rFonts w:ascii="Times New Roman" w:cs="Times New Roman" w:eastAsia="Times New Roman" w:hAnsi="Times New Roman"/>
          <w:sz w:val="20"/>
          <w:szCs w:val="20"/>
          <w:color w:val="auto"/>
        </w:rPr>
      </w:pPr>
    </w:p>
    <w:p>
      <w:pPr>
        <w:ind w:left="660" w:right="60" w:hanging="4"/>
        <w:spacing w:after="0" w:line="303" w:lineRule="auto"/>
        <w:tabs>
          <w:tab w:leader="none" w:pos="1023"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w:t>
      </w:r>
    </w:p>
    <w:p>
      <w:pPr>
        <w:spacing w:after="0" w:line="53" w:lineRule="exact"/>
        <w:rPr>
          <w:rFonts w:ascii="Times New Roman" w:cs="Times New Roman" w:eastAsia="Times New Roman" w:hAnsi="Times New Roman"/>
          <w:sz w:val="20"/>
          <w:szCs w:val="20"/>
          <w:color w:val="auto"/>
        </w:rPr>
      </w:pPr>
    </w:p>
    <w:p>
      <w:pPr>
        <w:ind w:left="660" w:right="38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about the effectiveness of the disclosure controls and procedures, as of the end of the period covered by this report based on such evaluation; and</w:t>
      </w:r>
    </w:p>
    <w:p>
      <w:pPr>
        <w:spacing w:after="0" w:line="186"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w:t>
      </w:r>
    </w:p>
    <w:p>
      <w:pPr>
        <w:spacing w:after="0" w:line="53" w:lineRule="exact"/>
        <w:rPr>
          <w:rFonts w:ascii="Times New Roman" w:cs="Times New Roman" w:eastAsia="Times New Roman" w:hAnsi="Times New Roman"/>
          <w:sz w:val="20"/>
          <w:szCs w:val="20"/>
          <w:color w:val="auto"/>
        </w:rPr>
      </w:pPr>
    </w:p>
    <w:p>
      <w:pPr>
        <w:ind w:left="66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599"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60" w:firstLine="8"/>
        <w:spacing w:after="0" w:line="303" w:lineRule="auto"/>
        <w:tabs>
          <w:tab w:leader="none" w:pos="343"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20"/>
          <w:szCs w:val="20"/>
          <w:color w:val="auto"/>
        </w:rPr>
      </w:pPr>
    </w:p>
    <w:p>
      <w:pPr>
        <w:ind w:left="660" w:right="100" w:hanging="4"/>
        <w:spacing w:after="0" w:line="355" w:lineRule="auto"/>
        <w:tabs>
          <w:tab w:leader="none" w:pos="1001" w:val="left"/>
        </w:tabs>
        <w:numPr>
          <w:ilvl w:val="1"/>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3" w:lineRule="exact"/>
        <w:rPr>
          <w:rFonts w:ascii="Times New Roman" w:cs="Times New Roman" w:eastAsia="Times New Roman" w:hAnsi="Times New Roman"/>
          <w:sz w:val="19"/>
          <w:szCs w:val="19"/>
          <w:color w:val="auto"/>
        </w:rPr>
      </w:pPr>
    </w:p>
    <w:p>
      <w:pPr>
        <w:ind w:left="660" w:right="120" w:hanging="4"/>
        <w:spacing w:after="0" w:line="311" w:lineRule="auto"/>
        <w:tabs>
          <w:tab w:leader="none" w:pos="1012"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November 3, 2026</w:t>
      </w:r>
    </w:p>
    <w:p>
      <w:pPr>
        <w:spacing w:after="0" w:line="81" w:lineRule="exact"/>
        <w:rPr>
          <w:sz w:val="20"/>
          <w:szCs w:val="20"/>
          <w:color w:val="auto"/>
        </w:rPr>
      </w:pPr>
    </w:p>
    <w:tbl>
      <w:tblPr>
        <w:tblLayout w:type="fixed"/>
        <w:tblInd w:w="5620" w:type="dxa"/>
        <w:tblCellMar>
          <w:top w:w="0" w:type="dxa"/>
          <w:left w:w="0" w:type="dxa"/>
          <w:bottom w:w="0" w:type="dxa"/>
          <w:right w:w="0" w:type="dxa"/>
        </w:tblCellMar>
      </w:tblPr>
      <w:tr>
        <w:trPr>
          <w:trHeight w:val="26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McKeel O Hagerty</w:t>
            </w:r>
          </w:p>
        </w:tc>
      </w:tr>
      <w:tr>
        <w:trPr>
          <w:trHeight w:val="244"/>
        </w:trPr>
        <w:tc>
          <w:tcPr>
            <w:tcW w:w="8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McKeel O Hagerty</w:t>
            </w:r>
          </w:p>
        </w:tc>
      </w:tr>
      <w:tr>
        <w:trPr>
          <w:trHeight w:val="257"/>
        </w:trPr>
        <w:tc>
          <w:tcPr>
            <w:tcW w:w="8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58"/>
        </w:trPr>
        <w:tc>
          <w:tcPr>
            <w:tcW w:w="8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bl>
    <w:p>
      <w:pPr>
        <w:sectPr>
          <w:pgSz w:w="11900" w:h="16838" w:orient="portrait"/>
          <w:cols w:equalWidth="0" w:num="1">
            <w:col w:w="11240"/>
          </w:cols>
          <w:pgMar w:left="320" w:top="599"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line="305" w:lineRule="auto"/>
        <w:rPr>
          <w:sz w:val="20"/>
          <w:szCs w:val="20"/>
          <w:color w:val="auto"/>
        </w:rPr>
      </w:pPr>
      <w:r>
        <w:rPr>
          <w:rFonts w:ascii="Times New Roman" w:cs="Times New Roman" w:eastAsia="Times New Roman" w:hAnsi="Times New Roman"/>
          <w:sz w:val="20"/>
          <w:szCs w:val="20"/>
          <w:b w:val="1"/>
          <w:bCs w:val="1"/>
          <w:color w:val="auto"/>
        </w:rPr>
        <w:t>CERTIFICATION OF CHIEF FINANCIAL OFFICER PURSUANT TO RULE 13A-14(A) UNDER THE SECURITIES EXCHANGE ACT OF 1934,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Patrick McClymont, certify that:</w:t>
      </w:r>
    </w:p>
    <w:p>
      <w:pPr>
        <w:spacing w:after="0" w:line="297" w:lineRule="exact"/>
        <w:rPr>
          <w:sz w:val="20"/>
          <w:szCs w:val="20"/>
          <w:color w:val="auto"/>
        </w:rPr>
      </w:pPr>
    </w:p>
    <w:p>
      <w:pPr>
        <w:ind w:left="360" w:hanging="352"/>
        <w:spacing w:after="0"/>
        <w:tabs>
          <w:tab w:leader="none" w:pos="36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Hagerty, Inc. for the quarterly period ended September 30, 2026;</w:t>
      </w:r>
    </w:p>
    <w:p>
      <w:pPr>
        <w:spacing w:after="0" w:line="283" w:lineRule="exact"/>
        <w:rPr>
          <w:rFonts w:ascii="Times New Roman" w:cs="Times New Roman" w:eastAsia="Times New Roman" w:hAnsi="Times New Roman"/>
          <w:sz w:val="20"/>
          <w:szCs w:val="20"/>
          <w:color w:val="auto"/>
        </w:rPr>
      </w:pPr>
    </w:p>
    <w:p>
      <w:pPr>
        <w:ind w:right="140" w:firstLine="8"/>
        <w:spacing w:after="0" w:line="303" w:lineRule="auto"/>
        <w:tabs>
          <w:tab w:leader="none" w:pos="346"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Times New Roman" w:cs="Times New Roman" w:eastAsia="Times New Roman" w:hAnsi="Times New Roman"/>
          <w:sz w:val="20"/>
          <w:szCs w:val="20"/>
          <w:color w:val="auto"/>
        </w:rPr>
      </w:pPr>
    </w:p>
    <w:p>
      <w:pPr>
        <w:ind w:right="320" w:firstLine="8"/>
        <w:spacing w:after="0" w:line="340" w:lineRule="auto"/>
        <w:tabs>
          <w:tab w:leader="none" w:pos="346"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9"/>
          <w:szCs w:val="19"/>
          <w:color w:val="auto"/>
        </w:rPr>
      </w:pPr>
    </w:p>
    <w:p>
      <w:pPr>
        <w:ind w:right="20" w:firstLine="8"/>
        <w:spacing w:after="0" w:line="303" w:lineRule="auto"/>
        <w:tabs>
          <w:tab w:leader="none" w:pos="34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20"/>
          <w:szCs w:val="20"/>
          <w:color w:val="auto"/>
        </w:rPr>
      </w:pPr>
    </w:p>
    <w:p>
      <w:pPr>
        <w:ind w:left="660" w:right="40" w:hanging="4"/>
        <w:spacing w:after="0" w:line="303" w:lineRule="auto"/>
        <w:tabs>
          <w:tab w:leader="none" w:pos="1012"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95" w:lineRule="exact"/>
        <w:rPr>
          <w:rFonts w:ascii="Times New Roman" w:cs="Times New Roman" w:eastAsia="Times New Roman" w:hAnsi="Times New Roman"/>
          <w:sz w:val="20"/>
          <w:szCs w:val="20"/>
          <w:color w:val="auto"/>
        </w:rPr>
      </w:pPr>
    </w:p>
    <w:p>
      <w:pPr>
        <w:ind w:left="660" w:right="60" w:hanging="4"/>
        <w:spacing w:after="0" w:line="303" w:lineRule="auto"/>
        <w:tabs>
          <w:tab w:leader="none" w:pos="1023"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w:t>
      </w:r>
    </w:p>
    <w:p>
      <w:pPr>
        <w:spacing w:after="0" w:line="53" w:lineRule="exact"/>
        <w:rPr>
          <w:rFonts w:ascii="Times New Roman" w:cs="Times New Roman" w:eastAsia="Times New Roman" w:hAnsi="Times New Roman"/>
          <w:sz w:val="20"/>
          <w:szCs w:val="20"/>
          <w:color w:val="auto"/>
        </w:rPr>
      </w:pPr>
    </w:p>
    <w:p>
      <w:pPr>
        <w:ind w:left="660" w:right="38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about the effectiveness of the disclosure controls and procedures, as of the end of the period covered by this report based on such evaluation; and</w:t>
      </w:r>
    </w:p>
    <w:p>
      <w:pPr>
        <w:spacing w:after="0" w:line="186"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w:t>
      </w:r>
    </w:p>
    <w:p>
      <w:pPr>
        <w:spacing w:after="0" w:line="53" w:lineRule="exact"/>
        <w:rPr>
          <w:rFonts w:ascii="Times New Roman" w:cs="Times New Roman" w:eastAsia="Times New Roman" w:hAnsi="Times New Roman"/>
          <w:sz w:val="20"/>
          <w:szCs w:val="20"/>
          <w:color w:val="auto"/>
        </w:rPr>
      </w:pPr>
    </w:p>
    <w:p>
      <w:pPr>
        <w:ind w:left="66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599"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60" w:firstLine="8"/>
        <w:spacing w:after="0" w:line="303" w:lineRule="auto"/>
        <w:tabs>
          <w:tab w:leader="none" w:pos="343"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20"/>
          <w:szCs w:val="20"/>
          <w:color w:val="auto"/>
        </w:rPr>
      </w:pPr>
    </w:p>
    <w:p>
      <w:pPr>
        <w:ind w:left="660" w:right="100" w:hanging="4"/>
        <w:spacing w:after="0" w:line="355" w:lineRule="auto"/>
        <w:tabs>
          <w:tab w:leader="none" w:pos="1001" w:val="left"/>
        </w:tabs>
        <w:numPr>
          <w:ilvl w:val="1"/>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9"/>
          <w:szCs w:val="19"/>
          <w:color w:val="auto"/>
        </w:rPr>
      </w:pPr>
    </w:p>
    <w:p>
      <w:pPr>
        <w:ind w:left="660" w:right="120" w:hanging="4"/>
        <w:spacing w:after="0" w:line="311" w:lineRule="auto"/>
        <w:tabs>
          <w:tab w:leader="none" w:pos="1012"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November 3, 2026</w:t>
      </w:r>
    </w:p>
    <w:p>
      <w:pPr>
        <w:spacing w:after="0" w:line="81" w:lineRule="exact"/>
        <w:rPr>
          <w:sz w:val="20"/>
          <w:szCs w:val="20"/>
          <w:color w:val="auto"/>
        </w:rPr>
      </w:pPr>
    </w:p>
    <w:tbl>
      <w:tblPr>
        <w:tblLayout w:type="fixed"/>
        <w:tblInd w:w="5620" w:type="dxa"/>
        <w:tblCellMar>
          <w:top w:w="0" w:type="dxa"/>
          <w:left w:w="0" w:type="dxa"/>
          <w:bottom w:w="0" w:type="dxa"/>
          <w:right w:w="0" w:type="dxa"/>
        </w:tblCellMar>
      </w:tblPr>
      <w:tr>
        <w:trPr>
          <w:trHeight w:val="26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Patrick McClymont</w:t>
            </w:r>
          </w:p>
        </w:tc>
      </w:tr>
      <w:tr>
        <w:trPr>
          <w:trHeight w:val="244"/>
        </w:trPr>
        <w:tc>
          <w:tcPr>
            <w:tcW w:w="7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Patrick McClymont</w:t>
            </w:r>
          </w:p>
        </w:tc>
      </w:tr>
      <w:tr>
        <w:trPr>
          <w:trHeight w:val="257"/>
        </w:trPr>
        <w:tc>
          <w:tcPr>
            <w:tcW w:w="7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7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bl>
    <w:p>
      <w:pPr>
        <w:sectPr>
          <w:pgSz w:w="11900" w:h="16838" w:orient="portrait"/>
          <w:cols w:equalWidth="0" w:num="1">
            <w:col w:w="11240"/>
          </w:cols>
          <w:pgMar w:left="320" w:top="599"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87"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I, McKeel O Hagerty, Chief Executive Officer of Hagerty, Inc. (the “Company”), hereby certify, that, to my knowledge:</w:t>
      </w:r>
    </w:p>
    <w:p>
      <w:pPr>
        <w:spacing w:after="0" w:line="200" w:lineRule="exact"/>
        <w:rPr>
          <w:sz w:val="20"/>
          <w:szCs w:val="20"/>
          <w:color w:val="auto"/>
        </w:rPr>
      </w:pPr>
    </w:p>
    <w:p>
      <w:pPr>
        <w:ind w:right="220" w:firstLine="8"/>
        <w:spacing w:after="0" w:line="311" w:lineRule="auto"/>
        <w:tabs>
          <w:tab w:leader="none" w:pos="34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Quarterly Report on Form 10-Q for the quarterly period ended September 30, 2026 (the “Report”) fully complies with the requirements of Section 13(a) or 15(d) of the Securities Exchange Act of 1934; and</w:t>
      </w:r>
    </w:p>
    <w:p>
      <w:pPr>
        <w:spacing w:after="0" w:line="186" w:lineRule="exact"/>
        <w:rPr>
          <w:rFonts w:ascii="Times New Roman" w:cs="Times New Roman" w:eastAsia="Times New Roman" w:hAnsi="Times New Roman"/>
          <w:sz w:val="20"/>
          <w:szCs w:val="20"/>
          <w:color w:val="auto"/>
        </w:rPr>
      </w:pPr>
    </w:p>
    <w:p>
      <w:pPr>
        <w:ind w:right="260" w:firstLine="8"/>
        <w:spacing w:after="0" w:line="325" w:lineRule="auto"/>
        <w:tabs>
          <w:tab w:leader="none" w:pos="34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November 3, 2026</w:t>
      </w:r>
    </w:p>
    <w:p>
      <w:pPr>
        <w:spacing w:after="0" w:line="67" w:lineRule="exact"/>
        <w:rPr>
          <w:sz w:val="20"/>
          <w:szCs w:val="20"/>
          <w:color w:val="auto"/>
        </w:rPr>
      </w:pPr>
    </w:p>
    <w:tbl>
      <w:tblPr>
        <w:tblLayout w:type="fixed"/>
        <w:tblInd w:w="5620" w:type="dxa"/>
        <w:tblCellMar>
          <w:top w:w="0" w:type="dxa"/>
          <w:left w:w="0" w:type="dxa"/>
          <w:bottom w:w="0" w:type="dxa"/>
          <w:right w:w="0" w:type="dxa"/>
        </w:tblCellMar>
      </w:tblPr>
      <w:tr>
        <w:trPr>
          <w:trHeight w:val="26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McKeel O Hagerty</w:t>
            </w:r>
          </w:p>
        </w:tc>
      </w:tr>
      <w:tr>
        <w:trPr>
          <w:trHeight w:val="244"/>
        </w:trPr>
        <w:tc>
          <w:tcPr>
            <w:tcW w:w="8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McKeel O Hagerty</w:t>
            </w:r>
          </w:p>
        </w:tc>
      </w:tr>
      <w:tr>
        <w:trPr>
          <w:trHeight w:val="257"/>
        </w:trPr>
        <w:tc>
          <w:tcPr>
            <w:tcW w:w="8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58"/>
        </w:trPr>
        <w:tc>
          <w:tcPr>
            <w:tcW w:w="8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bl>
    <w:p>
      <w:pPr>
        <w:sectPr>
          <w:pgSz w:w="11900" w:h="16838" w:orient="portrait"/>
          <w:cols w:equalWidth="0" w:num="1">
            <w:col w:w="11240"/>
          </w:cols>
          <w:pgMar w:left="320" w:top="383"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287" w:lineRule="exact"/>
        <w:rPr>
          <w:sz w:val="20"/>
          <w:szCs w:val="20"/>
          <w:color w:val="auto"/>
        </w:rPr>
      </w:pPr>
    </w:p>
    <w:p>
      <w:pPr>
        <w:ind w:right="380"/>
        <w:spacing w:after="0" w:line="325"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I, Patrick McClymont, Chief Financial Officer of Hagerty, Inc. (the “Company”), hereby certify, that, to my knowledge:</w:t>
      </w:r>
    </w:p>
    <w:p>
      <w:pPr>
        <w:spacing w:after="0" w:line="174" w:lineRule="exact"/>
        <w:rPr>
          <w:sz w:val="20"/>
          <w:szCs w:val="20"/>
          <w:color w:val="auto"/>
        </w:rPr>
      </w:pPr>
    </w:p>
    <w:p>
      <w:pPr>
        <w:ind w:right="220" w:firstLine="8"/>
        <w:spacing w:after="0" w:line="311" w:lineRule="auto"/>
        <w:tabs>
          <w:tab w:leader="none" w:pos="343"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Quarterly Report on Form 10-Q for the quarterly period ended September 30, 2026 (the “Report”) fully complies with the requirements of Section 13(a) or 15(d) of the Securities Exchange Act of 1934; and</w:t>
      </w:r>
    </w:p>
    <w:p>
      <w:pPr>
        <w:spacing w:after="0" w:line="200" w:lineRule="exact"/>
        <w:rPr>
          <w:rFonts w:ascii="Times New Roman" w:cs="Times New Roman" w:eastAsia="Times New Roman" w:hAnsi="Times New Roman"/>
          <w:sz w:val="20"/>
          <w:szCs w:val="20"/>
          <w:color w:val="auto"/>
        </w:rPr>
      </w:pPr>
    </w:p>
    <w:p>
      <w:pPr>
        <w:ind w:right="260" w:firstLine="8"/>
        <w:spacing w:after="0" w:line="311" w:lineRule="auto"/>
        <w:tabs>
          <w:tab w:leader="none" w:pos="343"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November 3, 2026</w:t>
      </w:r>
    </w:p>
    <w:p>
      <w:pPr>
        <w:spacing w:after="0" w:line="67" w:lineRule="exact"/>
        <w:rPr>
          <w:sz w:val="20"/>
          <w:szCs w:val="20"/>
          <w:color w:val="auto"/>
        </w:rPr>
      </w:pPr>
    </w:p>
    <w:tbl>
      <w:tblPr>
        <w:tblLayout w:type="fixed"/>
        <w:tblInd w:w="5620" w:type="dxa"/>
        <w:tblCellMar>
          <w:top w:w="0" w:type="dxa"/>
          <w:left w:w="0" w:type="dxa"/>
          <w:bottom w:w="0" w:type="dxa"/>
          <w:right w:w="0" w:type="dxa"/>
        </w:tblCellMar>
      </w:tblPr>
      <w:tr>
        <w:trPr>
          <w:trHeight w:val="26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Patrick McClymont</w:t>
            </w:r>
          </w:p>
        </w:tc>
      </w:tr>
      <w:tr>
        <w:trPr>
          <w:trHeight w:val="244"/>
        </w:trPr>
        <w:tc>
          <w:tcPr>
            <w:tcW w:w="7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Patrick McClymont</w:t>
            </w:r>
          </w:p>
        </w:tc>
      </w:tr>
      <w:tr>
        <w:trPr>
          <w:trHeight w:val="256"/>
        </w:trPr>
        <w:tc>
          <w:tcPr>
            <w:tcW w:w="7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7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1"/>
      <w:numFmt w:val="upperLetter"/>
      <w:start w:val="35"/>
    </w:lvl>
  </w:abstractNum>
  <w:abstractNum w:abstractNumId="4">
    <w:nsid w:val="754342"/>
    <w:multiLevelType w:val="hybridMultilevel"/>
    <w:lvl w:ilvl="0">
      <w:lvlJc w:val="left"/>
      <w:lvlText w:val="(%1)"/>
      <w:numFmt w:val="lowerRoman"/>
      <w:start w:val="3"/>
    </w:lvl>
  </w:abstractNum>
  <w:abstractNum w:abstractNumId="5">
    <w:nsid w:val="69E7F3E5"/>
    <w:multiLevelType w:val="hybridMultilevel"/>
    <w:lvl w:ilvl="0">
      <w:lvlJc w:val="left"/>
      <w:lvlText w:val="(%1)"/>
      <w:numFmt w:val="decimal"/>
      <w:start w:val="1"/>
    </w:lvl>
  </w:abstractNum>
  <w:abstractNum w:abstractNumId="6">
    <w:nsid w:val="2A6DE806"/>
    <w:multiLevelType w:val="hybridMultilevel"/>
    <w:lvl w:ilvl="0">
      <w:lvlJc w:val="left"/>
      <w:lvlText w:val="(%1)"/>
      <w:numFmt w:val="decimal"/>
      <w:start w:val="1"/>
    </w:lvl>
  </w:abstractNum>
  <w:abstractNum w:abstractNumId="7">
    <w:nsid w:val="1816F8C4"/>
    <w:multiLevelType w:val="hybridMultilevel"/>
    <w:lvl w:ilvl="0">
      <w:lvlJc w:val="left"/>
      <w:lvlText w:val="(%1)"/>
      <w:numFmt w:val="decimal"/>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1)"/>
      <w:numFmt w:val="decimal"/>
      <w:start w:val="1"/>
    </w:lvl>
  </w:abstractNum>
  <w:abstractNum w:abstractNumId="10">
    <w:nsid w:val="759F82CD"/>
    <w:multiLevelType w:val="hybridMultilevel"/>
    <w:lvl w:ilvl="0">
      <w:lvlJc w:val="left"/>
      <w:lvlText w:val="(%1)"/>
      <w:numFmt w:val="decimal"/>
      <w:start w:val="4"/>
    </w:lvl>
  </w:abstractNum>
  <w:abstractNum w:abstractNumId="11">
    <w:nsid w:val="61E74EA3"/>
    <w:multiLevelType w:val="hybridMultilevel"/>
    <w:lvl w:ilvl="0">
      <w:lvlJc w:val="left"/>
      <w:lvlText w:val="(%1)"/>
      <w:numFmt w:val="decimal"/>
      <w:start w:val="1"/>
    </w:lvl>
  </w:abstractNum>
  <w:abstractNum w:abstractNumId="12">
    <w:nsid w:val="597B4D84"/>
    <w:multiLevelType w:val="hybridMultilevel"/>
    <w:lvl w:ilvl="0">
      <w:lvlJc w:val="left"/>
      <w:lvlText w:val="(%1)"/>
      <w:numFmt w:val="decimal"/>
      <w:start w:val="1"/>
    </w:lvl>
  </w:abstractNum>
  <w:abstractNum w:abstractNumId="13">
    <w:nsid w:val="F819E7F"/>
    <w:multiLevelType w:val="hybridMultilevel"/>
    <w:lvl w:ilvl="0">
      <w:lvlJc w:val="left"/>
      <w:lvlText w:val="(%1)"/>
      <w:numFmt w:val="decimal"/>
      <w:start w:val="1"/>
    </w:lvl>
  </w:abstractNum>
  <w:abstractNum w:abstractNumId="14">
    <w:nsid w:val="57C7D42D"/>
    <w:multiLevelType w:val="hybridMultilevel"/>
    <w:lvl w:ilvl="0">
      <w:lvlJc w:val="left"/>
      <w:lvlText w:val="(%1)"/>
      <w:numFmt w:val="decimal"/>
      <w:start w:val="1"/>
    </w:lvl>
  </w:abstractNum>
  <w:abstractNum w:abstractNumId="15">
    <w:nsid w:val="312167AD"/>
    <w:multiLevelType w:val="hybridMultilevel"/>
    <w:lvl w:ilvl="0">
      <w:lvlJc w:val="left"/>
      <w:lvlText w:val="(%1)"/>
      <w:numFmt w:val="decimal"/>
      <w:start w:val="1"/>
    </w:lvl>
  </w:abstractNum>
  <w:abstractNum w:abstractNumId="16">
    <w:nsid w:val="631B64D4"/>
    <w:multiLevelType w:val="hybridMultilevel"/>
    <w:lvl w:ilvl="0">
      <w:lvlJc w:val="left"/>
      <w:lvlText w:val="(%1)"/>
      <w:numFmt w:val="decimal"/>
      <w:start w:val="1"/>
    </w:lvl>
  </w:abstractNum>
  <w:abstractNum w:abstractNumId="17">
    <w:nsid w:val="78B5E776"/>
    <w:multiLevelType w:val="hybridMultilevel"/>
    <w:lvl w:ilvl="0">
      <w:lvlJc w:val="left"/>
      <w:lvlText w:val="(%1)"/>
      <w:numFmt w:val="decimal"/>
      <w:start w:val="1"/>
    </w:lvl>
  </w:abstractNum>
  <w:abstractNum w:abstractNumId="18">
    <w:nsid w:val="75486E47"/>
    <w:multiLevelType w:val="hybridMultilevel"/>
    <w:lvl w:ilvl="0">
      <w:lvlJc w:val="left"/>
      <w:lvlText w:val="(%1)"/>
      <w:numFmt w:val="decimal"/>
      <w:start w:val="1"/>
    </w:lvl>
  </w:abstractNum>
  <w:abstractNum w:abstractNumId="19">
    <w:nsid w:val="6E534CDE"/>
    <w:multiLevelType w:val="hybridMultilevel"/>
    <w:lvl w:ilvl="0">
      <w:lvlJc w:val="left"/>
      <w:lvlText w:val="(%1)"/>
      <w:numFmt w:val="lowerLetter"/>
      <w:start w:val="1"/>
    </w:lvl>
  </w:abstractNum>
  <w:abstractNum w:abstractNumId="20">
    <w:nsid w:val="1A0DDE32"/>
    <w:multiLevelType w:val="hybridMultilevel"/>
    <w:lvl w:ilvl="0">
      <w:lvlJc w:val="left"/>
      <w:lvlText w:val="(%1)"/>
      <w:numFmt w:val="decimal"/>
      <w:start w:val="1"/>
    </w:lvl>
  </w:abstractNum>
  <w:abstractNum w:abstractNumId="21">
    <w:nsid w:val="65968C1C"/>
    <w:multiLevelType w:val="hybridMultilevel"/>
    <w:lvl w:ilvl="0">
      <w:lvlJc w:val="left"/>
      <w:lvlText w:val="(%1)"/>
      <w:numFmt w:val="decimal"/>
      <w:start w:val="1"/>
    </w:lvl>
  </w:abstractNum>
  <w:abstractNum w:abstractNumId="22">
    <w:nsid w:val="46263DEC"/>
    <w:multiLevelType w:val="hybridMultilevel"/>
    <w:lvl w:ilvl="0">
      <w:lvlJc w:val="left"/>
      <w:lvlText w:val="(%1)"/>
      <w:numFmt w:val="decimal"/>
      <w:start w:val="1"/>
    </w:lvl>
  </w:abstractNum>
  <w:abstractNum w:abstractNumId="23">
    <w:nsid w:val="260D8C4A"/>
    <w:multiLevelType w:val="hybridMultilevel"/>
    <w:lvl w:ilvl="0">
      <w:lvlJc w:val="left"/>
      <w:lvlText w:val="(%1)"/>
      <w:numFmt w:val="decimal"/>
      <w:start w:val="1"/>
    </w:lvl>
  </w:abstractNum>
  <w:abstractNum w:abstractNumId="24">
    <w:nsid w:val="73D4D3C4"/>
    <w:multiLevelType w:val="hybridMultilevel"/>
    <w:lvl w:ilvl="0">
      <w:lvlJc w:val="left"/>
      <w:lvlText w:val="(%1)"/>
      <w:numFmt w:val="lowerLetter"/>
      <w:start w:val="1"/>
    </w:lvl>
  </w:abstractNum>
  <w:abstractNum w:abstractNumId="25">
    <w:nsid w:val="746F2E30"/>
    <w:multiLevelType w:val="hybridMultilevel"/>
    <w:lvl w:ilvl="0">
      <w:lvlJc w:val="left"/>
      <w:lvlText w:val="(%1)"/>
      <w:numFmt w:val="decimal"/>
      <w:start w:val="1"/>
    </w:lvl>
  </w:abstractNum>
  <w:abstractNum w:abstractNumId="26">
    <w:nsid w:val="6FDE8AF6"/>
    <w:multiLevelType w:val="hybridMultilevel"/>
    <w:lvl w:ilvl="0">
      <w:lvlJc w:val="left"/>
      <w:lvlText w:val="(%1)"/>
      <w:numFmt w:val="decimal"/>
      <w:start w:val="1"/>
    </w:lvl>
  </w:abstractNum>
  <w:abstractNum w:abstractNumId="27">
    <w:nsid w:val="3FC32E20"/>
    <w:multiLevelType w:val="hybridMultilevel"/>
    <w:lvl w:ilvl="0">
      <w:lvlJc w:val="left"/>
      <w:lvlText w:val="(%1)"/>
      <w:numFmt w:val="decimal"/>
      <w:start w:val="1"/>
    </w:lvl>
  </w:abstractNum>
  <w:abstractNum w:abstractNumId="28">
    <w:nsid w:val="49C0E823"/>
    <w:multiLevelType w:val="hybridMultilevel"/>
    <w:lvl w:ilvl="0">
      <w:lvlJc w:val="left"/>
      <w:lvlText w:val="(%1)"/>
      <w:numFmt w:val="decimal"/>
      <w:start w:val="1"/>
    </w:lvl>
  </w:abstractNum>
  <w:abstractNum w:abstractNumId="29">
    <w:nsid w:val="14D53685"/>
    <w:multiLevelType w:val="hybridMultilevel"/>
    <w:lvl w:ilvl="0">
      <w:lvlJc w:val="left"/>
      <w:lvlText w:val="(%1)"/>
      <w:numFmt w:val="decimal"/>
      <w:start w:val="1"/>
    </w:lvl>
  </w:abstractNum>
  <w:abstractNum w:abstractNumId="30">
    <w:nsid w:val="230F856C"/>
    <w:multiLevelType w:val="hybridMultilevel"/>
    <w:lvl w:ilvl="0">
      <w:lvlJc w:val="left"/>
      <w:lvlText w:val="(%1)"/>
      <w:numFmt w:val="lowerLetter"/>
      <w:start w:val="1"/>
    </w:lvl>
  </w:abstractNum>
  <w:abstractNum w:abstractNumId="31">
    <w:nsid w:val="6EAA85FB"/>
    <w:multiLevelType w:val="hybridMultilevel"/>
    <w:lvl w:ilvl="0">
      <w:lvlJc w:val="left"/>
      <w:lvlText w:val="%1"/>
      <w:numFmt w:val="decimal"/>
      <w:start w:val="104"/>
    </w:lvl>
  </w:abstractNum>
  <w:abstractNum w:abstractNumId="32">
    <w:nsid w:val="3F06ECB2"/>
    <w:multiLevelType w:val="hybridMultilevel"/>
    <w:lvl w:ilvl="0">
      <w:lvlJc w:val="left"/>
      <w:lvlText w:val="*"/>
      <w:numFmt w:val="bullet"/>
      <w:start w:val="1"/>
    </w:lvl>
  </w:abstractNum>
  <w:abstractNum w:abstractNumId="33">
    <w:nsid w:val="3B594807"/>
    <w:multiLevelType w:val="hybridMultilevel"/>
    <w:lvl w:ilvl="0">
      <w:lvlJc w:val="left"/>
      <w:lvlText w:val="+"/>
      <w:numFmt w:val="bullet"/>
      <w:start w:val="1"/>
    </w:lvl>
  </w:abstractNum>
  <w:abstractNum w:abstractNumId="34">
    <w:nsid w:val="6CAA2304"/>
    <w:multiLevelType w:val="hybridMultilevel"/>
    <w:lvl w:ilvl="0">
      <w:lvlJc w:val="left"/>
      <w:lvlText w:val="#"/>
      <w:numFmt w:val="bullet"/>
      <w:start w:val="1"/>
    </w:lvl>
  </w:abstractNum>
  <w:abstractNum w:abstractNumId="35">
    <w:nsid w:val="3F7C2FF4"/>
    <w:multiLevelType w:val="hybridMultilevel"/>
    <w:lvl w:ilvl="0">
      <w:lvlJc w:val="left"/>
      <w:lvlText w:val="%1."/>
      <w:numFmt w:val="upperLetter"/>
      <w:start w:val="1"/>
    </w:lvl>
  </w:abstractNum>
  <w:abstractNum w:abstractNumId="36">
    <w:nsid w:val="25413BEC"/>
    <w:multiLevelType w:val="hybridMultilevel"/>
    <w:lvl w:ilvl="0">
      <w:lvlJc w:val="left"/>
      <w:lvlText w:val="(%1)"/>
      <w:numFmt w:val="lowerLetter"/>
      <w:start w:val="1"/>
    </w:lvl>
  </w:abstractNum>
  <w:abstractNum w:abstractNumId="37">
    <w:nsid w:val="17180B0B"/>
    <w:multiLevelType w:val="hybridMultilevel"/>
    <w:lvl w:ilvl="0">
      <w:lvlJc w:val="left"/>
      <w:lvlText w:val="(%1)"/>
      <w:numFmt w:val="lowerLetter"/>
      <w:start w:val="3"/>
    </w:lvl>
  </w:abstractNum>
  <w:abstractNum w:abstractNumId="38">
    <w:nsid w:val="579328B9"/>
    <w:multiLevelType w:val="hybridMultilevel"/>
    <w:lvl w:ilvl="0">
      <w:lvlJc w:val="left"/>
      <w:lvlText w:val="(%1)"/>
      <w:numFmt w:val="lowerLetter"/>
      <w:start w:val="1"/>
    </w:lvl>
  </w:abstractNum>
  <w:abstractNum w:abstractNumId="39">
    <w:nsid w:val="5D205E20"/>
    <w:multiLevelType w:val="hybridMultilevel"/>
    <w:lvl w:ilvl="0">
      <w:lvlJc w:val="left"/>
      <w:lvlText w:val="(%1)"/>
      <w:numFmt w:val="lowerLetter"/>
      <w:start w:val="2"/>
    </w:lvl>
  </w:abstractNum>
  <w:abstractNum w:abstractNumId="40">
    <w:nsid w:val="11CCA8BA"/>
    <w:multiLevelType w:val="hybridMultilevel"/>
    <w:lvl w:ilvl="0">
      <w:lvlJc w:val="left"/>
      <w:lvlText w:val="(%1)"/>
      <w:numFmt w:val="lowerLetter"/>
      <w:start w:val="1"/>
    </w:lvl>
  </w:abstractNum>
  <w:abstractNum w:abstractNumId="41">
    <w:nsid w:val="4D32AB86"/>
    <w:multiLevelType w:val="hybridMultilevel"/>
    <w:lvl w:ilvl="0">
      <w:lvlJc w:val="left"/>
      <w:lvlText w:val="(%1)"/>
      <w:numFmt w:val="decimal"/>
      <w:start w:val="1"/>
    </w:lvl>
  </w:abstractNum>
  <w:abstractNum w:abstractNumId="42">
    <w:nsid w:val="3F07ACC3"/>
    <w:multiLevelType w:val="hybridMultilevel"/>
    <w:lvl w:ilvl="0">
      <w:lvlJc w:val="left"/>
      <w:lvlText w:val="(%1)"/>
      <w:numFmt w:val="decimal"/>
      <w:start w:val="1"/>
    </w:lvl>
  </w:abstractNum>
  <w:abstractNum w:abstractNumId="43">
    <w:nsid w:val="6B47F63E"/>
    <w:multiLevelType w:val="hybridMultilevel"/>
    <w:lvl w:ilvl="0">
      <w:lvlJc w:val="left"/>
      <w:lvlText w:val="(%1)"/>
      <w:numFmt w:val="decimal"/>
      <w:start w:val="2"/>
    </w:lvl>
  </w:abstractNum>
  <w:abstractNum w:abstractNumId="44">
    <w:nsid w:val="5CB44A05"/>
    <w:multiLevelType w:val="hybridMultilevel"/>
    <w:lvl w:ilvl="0">
      <w:lvlJc w:val="left"/>
      <w:lvlText w:val="(%1)"/>
      <w:numFmt w:val="decimal"/>
      <w:start w:val="1"/>
    </w:lvl>
  </w:abstractNum>
  <w:abstractNum w:abstractNumId="45">
    <w:nsid w:val="16CF80F1"/>
    <w:multiLevelType w:val="hybridMultilevel"/>
    <w:lvl w:ilvl="0">
      <w:lvlJc w:val="left"/>
      <w:lvlText w:val="(%1)"/>
      <w:numFmt w:val="lowerLetter"/>
      <w:start w:val="1"/>
    </w:lvl>
  </w:abstractNum>
  <w:abstractNum w:abstractNumId="46">
    <w:nsid w:val="1C695DEC"/>
    <w:multiLevelType w:val="hybridMultilevel"/>
    <w:lvl w:ilvl="0">
      <w:lvlJc w:val="left"/>
      <w:lvlText w:val="(%1)"/>
      <w:numFmt w:val="lowerLetter"/>
      <w:start w:val="1"/>
    </w:lvl>
    <w:lvl w:ilvl="1">
      <w:lvlJc w:val="left"/>
      <w:lvlText w:val="(%2)"/>
      <w:numFmt w:val="lowerLetter"/>
      <w:start w:val="9"/>
    </w:lvl>
  </w:abstractNum>
  <w:abstractNum w:abstractNumId="47">
    <w:nsid w:val="3FCFAED9"/>
    <w:multiLevelType w:val="hybridMultilevel"/>
    <w:lvl w:ilvl="0">
      <w:lvlJc w:val="left"/>
      <w:lvlText w:val="(%1)"/>
      <w:numFmt w:val="lowerRoman"/>
      <w:start w:val="2"/>
    </w:lvl>
  </w:abstractNum>
  <w:abstractNum w:abstractNumId="48">
    <w:nsid w:val="F856867"/>
    <w:multiLevelType w:val="hybridMultilevel"/>
    <w:lvl w:ilvl="0">
      <w:lvlJc w:val="left"/>
      <w:lvlText w:val="%1"/>
      <w:numFmt w:val="upperLetter"/>
      <w:start w:val="1"/>
    </w:lvl>
    <w:lvl w:ilvl="1">
      <w:lvlJc w:val="left"/>
      <w:lvlText w:val="(%2)"/>
      <w:numFmt w:val="lowerRoman"/>
      <w:start w:val="12"/>
    </w:lvl>
  </w:abstractNum>
  <w:abstractNum w:abstractNumId="49">
    <w:nsid w:val="11B1CC33"/>
    <w:multiLevelType w:val="hybridMultilevel"/>
    <w:lvl w:ilvl="0">
      <w:lvlJc w:val="left"/>
      <w:lvlText w:val="(%1)"/>
      <w:numFmt w:val="upperLetter"/>
      <w:start w:val="35"/>
    </w:lvl>
    <w:lvl w:ilvl="1">
      <w:lvlJc w:val="left"/>
      <w:lvlText w:val="(%2)"/>
      <w:numFmt w:val="lowerRoman"/>
      <w:start w:val="14"/>
    </w:lvl>
  </w:abstractNum>
  <w:abstractNum w:abstractNumId="50">
    <w:nsid w:val="2E22FBB7"/>
    <w:multiLevelType w:val="hybridMultilevel"/>
    <w:lvl w:ilvl="0">
      <w:lvlJc w:val="left"/>
      <w:lvlText w:val="(%1)"/>
      <w:numFmt w:val="lowerLetter"/>
      <w:start w:val="3"/>
    </w:lvl>
    <w:lvl w:ilvl="1">
      <w:lvlJc w:val="left"/>
      <w:lvlText w:val="(%2)"/>
      <w:numFmt w:val="lowerRoman"/>
      <w:start w:val="1"/>
    </w:lvl>
  </w:abstractNum>
  <w:abstractNum w:abstractNumId="51">
    <w:nsid w:val="29934699"/>
    <w:multiLevelType w:val="hybridMultilevel"/>
    <w:lvl w:ilvl="0">
      <w:lvlJc w:val="left"/>
      <w:lvlText w:val="(%1)"/>
      <w:numFmt w:val="lowerRoman"/>
      <w:start w:val="4"/>
    </w:lvl>
  </w:abstractNum>
  <w:abstractNum w:abstractNumId="52">
    <w:nsid w:val="77485850"/>
    <w:multiLevelType w:val="hybridMultilevel"/>
    <w:lvl w:ilvl="0">
      <w:lvlJc w:val="left"/>
      <w:lvlText w:val="(%1)"/>
      <w:numFmt w:val="lowerLetter"/>
      <w:start w:val="1"/>
    </w:lvl>
  </w:abstractNum>
  <w:abstractNum w:abstractNumId="53">
    <w:nsid w:val="744939A3"/>
    <w:multiLevelType w:val="hybridMultilevel"/>
    <w:lvl w:ilvl="0">
      <w:lvlJc w:val="left"/>
      <w:lvlText w:val="(%1)"/>
      <w:numFmt w:val="lowerLetter"/>
      <w:start w:val="6"/>
    </w:lvl>
  </w:abstractNum>
  <w:abstractNum w:abstractNumId="54">
    <w:nsid w:val="4FA0D2E3"/>
    <w:multiLevelType w:val="hybridMultilevel"/>
    <w:lvl w:ilvl="0">
      <w:lvlJc w:val="left"/>
      <w:lvlText w:val="(%1)"/>
      <w:numFmt w:val="lowerRoman"/>
      <w:start w:val="1"/>
    </w:lvl>
  </w:abstractNum>
  <w:abstractNum w:abstractNumId="55">
    <w:nsid w:val="6B1D2C14"/>
    <w:multiLevelType w:val="hybridMultilevel"/>
    <w:lvl w:ilvl="0">
      <w:lvlJc w:val="left"/>
      <w:lvlText w:val="(%1)"/>
      <w:numFmt w:val="lowerRoman"/>
      <w:start w:val="3"/>
    </w:lvl>
  </w:abstractNum>
  <w:abstractNum w:abstractNumId="56">
    <w:nsid w:val="68B867D3"/>
    <w:multiLevelType w:val="hybridMultilevel"/>
    <w:lvl w:ilvl="0">
      <w:lvlJc w:val="left"/>
      <w:lvlText w:val="(%1)"/>
      <w:numFmt w:val="lowerRoman"/>
      <w:start w:val="3"/>
    </w:lvl>
  </w:abstractNum>
  <w:abstractNum w:abstractNumId="57">
    <w:nsid w:val="3F7F5DD9"/>
    <w:multiLevelType w:val="hybridMultilevel"/>
    <w:lvl w:ilvl="0">
      <w:lvlJc w:val="left"/>
      <w:lvlText w:val="(%1)"/>
      <w:numFmt w:val="lowerRoman"/>
      <w:start w:val="2"/>
    </w:lvl>
  </w:abstractNum>
  <w:abstractNum w:abstractNumId="58">
    <w:nsid w:val="2AE05A34"/>
    <w:multiLevelType w:val="hybridMultilevel"/>
    <w:lvl w:ilvl="0">
      <w:lvlJc w:val="left"/>
      <w:lvlText w:val="(%1)"/>
      <w:numFmt w:val="lowerLetter"/>
      <w:start w:val="25"/>
    </w:lvl>
  </w:abstractNum>
  <w:abstractNum w:abstractNumId="59">
    <w:nsid w:val="32794FF7"/>
    <w:multiLevelType w:val="hybridMultilevel"/>
    <w:lvl w:ilvl="0">
      <w:lvlJc w:val="left"/>
      <w:lvlText w:val="(%1)"/>
      <w:numFmt w:val="lowerLetter"/>
      <w:start w:val="35"/>
    </w:lvl>
  </w:abstractNum>
  <w:abstractNum w:abstractNumId="60">
    <w:nsid w:val="5454945E"/>
    <w:multiLevelType w:val="hybridMultilevel"/>
    <w:lvl w:ilvl="0">
      <w:lvlJc w:val="left"/>
      <w:lvlText w:val="%1"/>
      <w:numFmt w:val="lowerLetter"/>
      <w:start w:val="1"/>
    </w:lvl>
    <w:lvl w:ilvl="1">
      <w:lvlJc w:val="left"/>
      <w:lvlText w:val="(%2)"/>
      <w:numFmt w:val="lowerLetter"/>
      <w:start w:val="1"/>
    </w:lvl>
  </w:abstractNum>
  <w:abstractNum w:abstractNumId="61">
    <w:nsid w:val="4DEFDFA0"/>
    <w:multiLevelType w:val="hybridMultilevel"/>
    <w:lvl w:ilvl="0">
      <w:lvlJc w:val="left"/>
      <w:lvlText w:val="(%1)"/>
      <w:numFmt w:val="lowerLetter"/>
      <w:start w:val="35"/>
    </w:lvl>
    <w:lvl w:ilvl="1">
      <w:lvlJc w:val="left"/>
      <w:lvlText w:val="(%2)"/>
      <w:numFmt w:val="lowerLetter"/>
      <w:start w:val="2"/>
    </w:lvl>
  </w:abstractNum>
  <w:abstractNum w:abstractNumId="62">
    <w:nsid w:val="2123D5F2"/>
    <w:multiLevelType w:val="hybridMultilevel"/>
    <w:lvl w:ilvl="0">
      <w:lvlJc w:val="left"/>
      <w:lvlText w:val="(%1)"/>
      <w:numFmt w:val="lowerLetter"/>
      <w:start w:val="1"/>
    </w:lvl>
  </w:abstractNum>
  <w:abstractNum w:abstractNumId="63">
    <w:nsid w:val="135B8110"/>
    <w:multiLevelType w:val="hybridMultilevel"/>
    <w:lvl w:ilvl="0">
      <w:lvlJc w:val="left"/>
      <w:lvlText w:val="(%1)"/>
      <w:numFmt w:val="lowerLetter"/>
      <w:start w:val="1"/>
    </w:lvl>
  </w:abstractNum>
  <w:abstractNum w:abstractNumId="64">
    <w:nsid w:val="94927A8"/>
    <w:multiLevelType w:val="hybridMultilevel"/>
    <w:lvl w:ilvl="0">
      <w:lvlJc w:val="left"/>
      <w:lvlText w:val="(%1)"/>
      <w:numFmt w:val="lowerLetter"/>
      <w:start w:val="1"/>
    </w:lvl>
  </w:abstractNum>
  <w:abstractNum w:abstractNumId="65">
    <w:nsid w:val="DCDF8F6"/>
    <w:multiLevelType w:val="hybridMultilevel"/>
    <w:lvl w:ilvl="0">
      <w:lvlJc w:val="left"/>
      <w:lvlText w:val="(%1)"/>
      <w:numFmt w:val="decimal"/>
      <w:start w:val="1"/>
    </w:lvl>
  </w:abstractNum>
  <w:abstractNum w:abstractNumId="66">
    <w:nsid w:val="52D7B105"/>
    <w:multiLevelType w:val="hybridMultilevel"/>
    <w:lvl w:ilvl="0">
      <w:lvlJc w:val="left"/>
      <w:lvlText w:val="(%1)"/>
      <w:numFmt w:val="lowerLetter"/>
      <w:start w:val="1"/>
    </w:lvl>
  </w:abstractNum>
  <w:abstractNum w:abstractNumId="67">
    <w:nsid w:val="2E8A6394"/>
    <w:multiLevelType w:val="hybridMultilevel"/>
    <w:lvl w:ilvl="0">
      <w:lvlJc w:val="left"/>
      <w:lvlText w:val="(%1)"/>
      <w:numFmt w:val="lowerLetter"/>
      <w:start w:val="6"/>
    </w:lvl>
  </w:abstractNum>
  <w:abstractNum w:abstractNumId="68">
    <w:nsid w:val="24E60401"/>
    <w:multiLevelType w:val="hybridMultilevel"/>
    <w:lvl w:ilvl="0">
      <w:lvlJc w:val="left"/>
      <w:lvlText w:val="%1"/>
      <w:numFmt w:val="lowerLetter"/>
      <w:start w:val="1"/>
    </w:lvl>
    <w:lvl w:ilvl="1">
      <w:lvlJc w:val="left"/>
      <w:lvlText w:val="(%2)"/>
      <w:numFmt w:val="lowerLetter"/>
      <w:start w:val="1"/>
    </w:lvl>
  </w:abstractNum>
  <w:abstractNum w:abstractNumId="69">
    <w:nsid w:val="2A6AD9BE"/>
    <w:multiLevelType w:val="hybridMultilevel"/>
    <w:lvl w:ilvl="0">
      <w:lvlJc w:val="left"/>
      <w:lvlText w:val="(%1)"/>
      <w:numFmt w:val="lowerLetter"/>
      <w:start w:val="61"/>
    </w:lvl>
    <w:lvl w:ilvl="1">
      <w:lvlJc w:val="left"/>
      <w:lvlText w:val="(%2)"/>
      <w:numFmt w:val="lowerLetter"/>
      <w:start w:val="5"/>
    </w:lvl>
  </w:abstractNum>
  <w:abstractNum w:abstractNumId="70">
    <w:nsid w:val="BAAC1B4"/>
    <w:multiLevelType w:val="hybridMultilevel"/>
    <w:lvl w:ilvl="0">
      <w:lvlJc w:val="left"/>
      <w:lvlText w:val="%1"/>
      <w:numFmt w:val="lowerLetter"/>
      <w:start w:val="1"/>
    </w:lvl>
    <w:lvl w:ilvl="1">
      <w:lvlJc w:val="left"/>
      <w:lvlText w:val="(%2)"/>
      <w:numFmt w:val="lowerLetter"/>
      <w:start w:val="10"/>
    </w:lvl>
  </w:abstractNum>
  <w:abstractNum w:abstractNumId="71">
    <w:nsid w:val="36B2ACBC"/>
    <w:multiLevelType w:val="hybridMultilevel"/>
    <w:lvl w:ilvl="0">
      <w:lvlJc w:val="left"/>
      <w:lvlText w:val="(%1)"/>
      <w:numFmt w:val="lowerLetter"/>
      <w:start w:val="35"/>
    </w:lvl>
    <w:lvl w:ilvl="1">
      <w:lvlJc w:val="left"/>
      <w:lvlText w:val="(%2)"/>
      <w:numFmt w:val="lowerLetter"/>
      <w:start w:val="13"/>
    </w:lvl>
  </w:abstractNum>
  <w:abstractNum w:abstractNumId="72">
    <w:nsid w:val="779D8544"/>
    <w:multiLevelType w:val="hybridMultilevel"/>
    <w:lvl w:ilvl="0">
      <w:lvlJc w:val="left"/>
      <w:lvlText w:val="(%1)"/>
      <w:numFmt w:val="lowerRoman"/>
      <w:start w:val="4"/>
    </w:lvl>
  </w:abstractNum>
  <w:abstractNum w:abstractNumId="73">
    <w:nsid w:val="4AB26E78"/>
    <w:multiLevelType w:val="hybridMultilevel"/>
    <w:lvl w:ilvl="0">
      <w:lvlJc w:val="left"/>
      <w:lvlText w:val="(%1)"/>
      <w:numFmt w:val="lowerLetter"/>
      <w:start w:val="1"/>
    </w:lvl>
  </w:abstractNum>
  <w:abstractNum w:abstractNumId="74">
    <w:nsid w:val="21FAA2FA"/>
    <w:multiLevelType w:val="hybridMultilevel"/>
    <w:lvl w:ilvl="0">
      <w:lvlJc w:val="left"/>
      <w:lvlText w:val="(%1)"/>
      <w:numFmt w:val="lowerLetter"/>
      <w:start w:val="8"/>
    </w:lvl>
  </w:abstractNum>
  <w:abstractNum w:abstractNumId="75">
    <w:nsid w:val="5451CF49"/>
    <w:multiLevelType w:val="hybridMultilevel"/>
    <w:lvl w:ilvl="0">
      <w:lvlJc w:val="left"/>
      <w:lvlText w:val="(%1)"/>
      <w:numFmt w:val="lowerLetter"/>
      <w:start w:val="1"/>
    </w:lvl>
  </w:abstractNum>
  <w:abstractNum w:abstractNumId="76">
    <w:nsid w:val="6181EF69"/>
    <w:multiLevelType w:val="hybridMultilevel"/>
    <w:lvl w:ilvl="0">
      <w:lvlJc w:val="left"/>
      <w:lvlText w:val="(%1)"/>
      <w:numFmt w:val="lowerLetter"/>
      <w:start w:val="1"/>
    </w:lvl>
  </w:abstractNum>
  <w:abstractNum w:abstractNumId="77">
    <w:nsid w:val="3E6400E6"/>
    <w:multiLevelType w:val="hybridMultilevel"/>
    <w:lvl w:ilvl="0">
      <w:lvlJc w:val="left"/>
      <w:lvlText w:val="(%1)"/>
      <w:numFmt w:val="lowerLetter"/>
      <w:start w:val="3"/>
    </w:lvl>
  </w:abstractNum>
  <w:abstractNum w:abstractNumId="78">
    <w:nsid w:val="14217E23"/>
    <w:multiLevelType w:val="hybridMultilevel"/>
    <w:lvl w:ilvl="0">
      <w:lvlJc w:val="left"/>
      <w:lvlText w:val="(%1)"/>
      <w:numFmt w:val="lowerRoman"/>
      <w:start w:val="2"/>
    </w:lvl>
  </w:abstractNum>
  <w:abstractNum w:abstractNumId="79">
    <w:nsid w:val="710757D0"/>
    <w:multiLevelType w:val="hybridMultilevel"/>
    <w:lvl w:ilvl="0">
      <w:lvlJc w:val="left"/>
      <w:lvlText w:val="(%1)"/>
      <w:numFmt w:val="lowerRoman"/>
      <w:start w:val="1"/>
    </w:lvl>
  </w:abstractNum>
  <w:abstractNum w:abstractNumId="80">
    <w:nsid w:val="5015CD1A"/>
    <w:multiLevelType w:val="hybridMultilevel"/>
    <w:lvl w:ilvl="0">
      <w:lvlJc w:val="left"/>
      <w:lvlText w:val="(%1)"/>
      <w:numFmt w:val="lowerRoman"/>
      <w:start w:val="3"/>
    </w:lvl>
  </w:abstractNum>
  <w:abstractNum w:abstractNumId="81">
    <w:nsid w:val="424479DA"/>
    <w:multiLevelType w:val="hybridMultilevel"/>
    <w:lvl w:ilvl="0">
      <w:lvlJc w:val="left"/>
      <w:lvlText w:val="(%1)"/>
      <w:numFmt w:val="lowerLetter"/>
      <w:start w:val="1"/>
    </w:lvl>
  </w:abstractNum>
  <w:abstractNum w:abstractNumId="82">
    <w:nsid w:val="1A9A9E69"/>
    <w:multiLevelType w:val="hybridMultilevel"/>
    <w:lvl w:ilvl="0">
      <w:lvlJc w:val="left"/>
      <w:lvlText w:val="(%1)"/>
      <w:numFmt w:val="lowerRoman"/>
      <w:start w:val="2"/>
    </w:lvl>
  </w:abstractNum>
  <w:abstractNum w:abstractNumId="83">
    <w:nsid w:val="475E256A"/>
    <w:multiLevelType w:val="hybridMultilevel"/>
    <w:lvl w:ilvl="0">
      <w:lvlJc w:val="left"/>
      <w:lvlText w:val="(%1)"/>
      <w:numFmt w:val="lowerLetter"/>
      <w:start w:val="2"/>
    </w:lvl>
  </w:abstractNum>
  <w:abstractNum w:abstractNumId="84">
    <w:nsid w:val="368DB37E"/>
    <w:multiLevelType w:val="hybridMultilevel"/>
    <w:lvl w:ilvl="0">
      <w:lvlJc w:val="left"/>
      <w:lvlText w:val="(%1)"/>
      <w:numFmt w:val="lowerLetter"/>
      <w:start w:val="1"/>
    </w:lvl>
  </w:abstractNum>
  <w:abstractNum w:abstractNumId="85">
    <w:nsid w:val="6A3B714C"/>
    <w:multiLevelType w:val="hybridMultilevel"/>
    <w:lvl w:ilvl="0">
      <w:lvlJc w:val="left"/>
      <w:lvlText w:val="(%1)"/>
      <w:numFmt w:val="lowerLetter"/>
      <w:start w:val="1"/>
    </w:lvl>
  </w:abstractNum>
  <w:abstractNum w:abstractNumId="86">
    <w:nsid w:val="327B517E"/>
    <w:multiLevelType w:val="hybridMultilevel"/>
    <w:lvl w:ilvl="0">
      <w:lvlJc w:val="left"/>
      <w:lvlText w:val="(%1)"/>
      <w:numFmt w:val="lowerLetter"/>
      <w:start w:val="2"/>
    </w:lvl>
  </w:abstractNum>
  <w:abstractNum w:abstractNumId="87">
    <w:nsid w:val="1F461B51"/>
    <w:multiLevelType w:val="hybridMultilevel"/>
    <w:lvl w:ilvl="0">
      <w:lvlJc w:val="left"/>
      <w:lvlText w:val="(%1)"/>
      <w:numFmt w:val="lowerLetter"/>
      <w:start w:val="1"/>
    </w:lvl>
  </w:abstractNum>
  <w:abstractNum w:abstractNumId="88">
    <w:nsid w:val="29BACF25"/>
    <w:multiLevelType w:val="hybridMultilevel"/>
    <w:lvl w:ilvl="0">
      <w:lvlJc w:val="left"/>
      <w:lvlText w:val="(%1)"/>
      <w:numFmt w:val="lowerLetter"/>
      <w:start w:val="2"/>
    </w:lvl>
  </w:abstractNum>
  <w:abstractNum w:abstractNumId="89">
    <w:nsid w:val="5D5BABB3"/>
    <w:multiLevelType w:val="hybridMultilevel"/>
    <w:lvl w:ilvl="0">
      <w:lvlJc w:val="left"/>
      <w:lvlText w:val="(%1)"/>
      <w:numFmt w:val="lowerLetter"/>
      <w:start w:val="1"/>
    </w:lvl>
  </w:abstractNum>
  <w:abstractNum w:abstractNumId="90">
    <w:nsid w:val="51BF6B48"/>
    <w:multiLevelType w:val="hybridMultilevel"/>
    <w:lvl w:ilvl="0">
      <w:lvlJc w:val="left"/>
      <w:lvlText w:val="(%1)"/>
      <w:numFmt w:val="lowerLetter"/>
      <w:start w:val="4"/>
    </w:lvl>
  </w:abstractNum>
  <w:abstractNum w:abstractNumId="91">
    <w:nsid w:val="7E0F6384"/>
    <w:multiLevelType w:val="hybridMultilevel"/>
    <w:lvl w:ilvl="0">
      <w:lvlJc w:val="left"/>
      <w:lvlText w:val="(%1)"/>
      <w:numFmt w:val="lowerRoman"/>
      <w:start w:val="1"/>
    </w:lvl>
  </w:abstractNum>
  <w:abstractNum w:abstractNumId="92">
    <w:nsid w:val="2B4B8B53"/>
    <w:multiLevelType w:val="hybridMultilevel"/>
    <w:lvl w:ilvl="0">
      <w:lvlJc w:val="left"/>
      <w:lvlText w:val="(%1)"/>
      <w:numFmt w:val="lowerLetter"/>
      <w:start w:val="1"/>
    </w:lvl>
  </w:abstractNum>
  <w:abstractNum w:abstractNumId="93">
    <w:nsid w:val="72E3413A"/>
    <w:multiLevelType w:val="hybridMultilevel"/>
    <w:lvl w:ilvl="0">
      <w:lvlJc w:val="left"/>
      <w:lvlText w:val="(%1)"/>
      <w:numFmt w:val="lowerLetter"/>
      <w:start w:val="3"/>
    </w:lvl>
  </w:abstractNum>
  <w:abstractNum w:abstractNumId="94">
    <w:nsid w:val="116AE494"/>
    <w:multiLevelType w:val="hybridMultilevel"/>
    <w:lvl w:ilvl="0">
      <w:lvlJc w:val="left"/>
      <w:lvlText w:val="(%1)"/>
      <w:numFmt w:val="lowerLetter"/>
      <w:start w:val="1"/>
    </w:lvl>
  </w:abstractNum>
  <w:abstractNum w:abstractNumId="95">
    <w:nsid w:val="3494B2FB"/>
    <w:multiLevelType w:val="hybridMultilevel"/>
    <w:lvl w:ilvl="0">
      <w:lvlJc w:val="left"/>
      <w:lvlText w:val="(%1)"/>
      <w:numFmt w:val="lowerLetter"/>
      <w:start w:val="2"/>
    </w:lvl>
  </w:abstractNum>
  <w:abstractNum w:abstractNumId="96">
    <w:nsid w:val="B13A31"/>
    <w:multiLevelType w:val="hybridMultilevel"/>
    <w:lvl w:ilvl="0">
      <w:lvlJc w:val="left"/>
      <w:lvlText w:val="(%1)"/>
      <w:numFmt w:val="lowerLetter"/>
      <w:start w:val="3"/>
    </w:lvl>
  </w:abstractNum>
  <w:abstractNum w:abstractNumId="97">
    <w:nsid w:val="64429599"/>
    <w:multiLevelType w:val="hybridMultilevel"/>
    <w:lvl w:ilvl="0">
      <w:lvlJc w:val="left"/>
      <w:lvlText w:val="(%1)"/>
      <w:numFmt w:val="lowerLetter"/>
      <w:start w:val="35"/>
    </w:lvl>
    <w:lvl w:ilvl="1">
      <w:lvlJc w:val="left"/>
      <w:lvlText w:val="(%2)"/>
      <w:numFmt w:val="lowerLetter"/>
      <w:start w:val="6"/>
    </w:lvl>
  </w:abstractNum>
  <w:abstractNum w:abstractNumId="98">
    <w:nsid w:val="631F1690"/>
    <w:multiLevelType w:val="hybridMultilevel"/>
    <w:lvl w:ilvl="0">
      <w:lvlJc w:val="left"/>
      <w:lvlText w:val="(%1)"/>
      <w:numFmt w:val="lowerLetter"/>
      <w:start w:val="7"/>
    </w:lvl>
  </w:abstractNum>
  <w:abstractNum w:abstractNumId="99">
    <w:nsid w:val="25973E32"/>
    <w:multiLevelType w:val="hybridMultilevel"/>
    <w:lvl w:ilvl="0">
      <w:lvlJc w:val="left"/>
      <w:lvlText w:val="(%1)"/>
      <w:numFmt w:val="lowerRoman"/>
      <w:start w:val="1"/>
    </w:lvl>
    <w:lvl w:ilvl="1">
      <w:lvlJc w:val="left"/>
      <w:lvlText w:val="(%2)"/>
      <w:numFmt w:val="lowerRoman"/>
      <w:start w:val="1"/>
    </w:lvl>
  </w:abstractNum>
  <w:abstractNum w:abstractNumId="100">
    <w:nsid w:val="EAD6F57"/>
    <w:multiLevelType w:val="hybridMultilevel"/>
    <w:lvl w:ilvl="0">
      <w:lvlJc w:val="left"/>
      <w:lvlText w:val="(%1)"/>
      <w:numFmt w:val="lowerLetter"/>
      <w:start w:val="10"/>
    </w:lvl>
  </w:abstractNum>
  <w:abstractNum w:abstractNumId="101">
    <w:nsid w:val="6EC9D844"/>
    <w:multiLevelType w:val="hybridMultilevel"/>
    <w:lvl w:ilvl="0">
      <w:lvlJc w:val="left"/>
      <w:lvlText w:val="(%1)"/>
      <w:numFmt w:val="decimal"/>
      <w:start w:val="3"/>
    </w:lvl>
    <w:lvl w:ilvl="1">
      <w:lvlJc w:val="left"/>
      <w:lvlText w:val="(%2)"/>
      <w:numFmt w:val="lowerLetter"/>
      <w:start w:val="11"/>
    </w:lvl>
  </w:abstractNum>
  <w:abstractNum w:abstractNumId="102">
    <w:nsid w:val="5C49EAEE"/>
    <w:multiLevelType w:val="hybridMultilevel"/>
    <w:lvl w:ilvl="0">
      <w:lvlJc w:val="left"/>
      <w:lvlText w:val="(%1)"/>
      <w:numFmt w:val="lowerLetter"/>
      <w:start w:val="1"/>
    </w:lvl>
  </w:abstractNum>
  <w:abstractNum w:abstractNumId="103">
    <w:nsid w:val="64AF49B"/>
    <w:multiLevelType w:val="hybridMultilevel"/>
    <w:lvl w:ilvl="0">
      <w:lvlJc w:val="left"/>
      <w:lvlText w:val="(%1)"/>
      <w:numFmt w:val="lowerLetter"/>
      <w:start w:val="3"/>
    </w:lvl>
  </w:abstractNum>
  <w:abstractNum w:abstractNumId="104">
    <w:nsid w:val="397C46BC"/>
    <w:multiLevelType w:val="hybridMultilevel"/>
    <w:lvl w:ilvl="0">
      <w:lvlJc w:val="left"/>
      <w:lvlText w:val="(%1)"/>
      <w:numFmt w:val="lowerLetter"/>
      <w:start w:val="1"/>
    </w:lvl>
  </w:abstractNum>
  <w:abstractNum w:abstractNumId="105">
    <w:nsid w:val="7E448DE9"/>
    <w:multiLevelType w:val="hybridMultilevel"/>
    <w:lvl w:ilvl="0">
      <w:lvlJc w:val="left"/>
      <w:lvlText w:val="(%1)"/>
      <w:numFmt w:val="lowerLetter"/>
      <w:start w:val="3"/>
    </w:lvl>
    <w:lvl w:ilvl="1">
      <w:lvlJc w:val="left"/>
      <w:lvlText w:val="(%2)"/>
      <w:numFmt w:val="lowerRoman"/>
      <w:start w:val="1"/>
    </w:lvl>
  </w:abstractNum>
  <w:abstractNum w:abstractNumId="106">
    <w:nsid w:val="5A9CC3E5"/>
    <w:multiLevelType w:val="hybridMultilevel"/>
    <w:lvl w:ilvl="0">
      <w:lvlJc w:val="left"/>
      <w:lvlText w:val="(%1)"/>
      <w:numFmt w:val="lowerLetter"/>
      <w:start w:val="4"/>
    </w:lvl>
  </w:abstractNum>
  <w:abstractNum w:abstractNumId="107">
    <w:nsid w:val="1AFE3625"/>
    <w:multiLevelType w:val="hybridMultilevel"/>
    <w:lvl w:ilvl="0">
      <w:lvlJc w:val="left"/>
      <w:lvlText w:val="(%1)"/>
      <w:numFmt w:val="upperLetter"/>
      <w:start w:val="2"/>
    </w:lvl>
  </w:abstractNum>
  <w:abstractNum w:abstractNumId="108">
    <w:nsid w:val="3CA88ECF"/>
    <w:multiLevelType w:val="hybridMultilevel"/>
    <w:lvl w:ilvl="0">
      <w:lvlJc w:val="left"/>
      <w:lvlText w:val="(%1)"/>
      <w:numFmt w:val="lowerLetter"/>
      <w:start w:val="1"/>
    </w:lvl>
    <w:lvl w:ilvl="1">
      <w:lvlJc w:val="left"/>
      <w:lvlText w:val="(%2)"/>
      <w:numFmt w:val="lowerLetter"/>
      <w:start w:val="9"/>
    </w:lvl>
  </w:abstractNum>
  <w:abstractNum w:abstractNumId="109">
    <w:nsid w:val="6EBE4208"/>
    <w:multiLevelType w:val="hybridMultilevel"/>
    <w:lvl w:ilvl="0">
      <w:lvlJc w:val="left"/>
      <w:lvlText w:val="%1"/>
      <w:numFmt w:val="upperLetter"/>
      <w:start w:val="1"/>
    </w:lvl>
    <w:lvl w:ilvl="1">
      <w:lvlJc w:val="left"/>
      <w:lvlText w:val="(%2)"/>
      <w:numFmt w:val="lowerRoman"/>
      <w:start w:val="2"/>
    </w:lvl>
  </w:abstractNum>
  <w:abstractNum w:abstractNumId="110">
    <w:nsid w:val="C058DF5"/>
    <w:multiLevelType w:val="hybridMultilevel"/>
    <w:lvl w:ilvl="0">
      <w:lvlJc w:val="left"/>
      <w:lvlText w:val="(%1)"/>
      <w:numFmt w:val="upperLetter"/>
      <w:start w:val="61"/>
    </w:lvl>
    <w:lvl w:ilvl="1">
      <w:lvlJc w:val="left"/>
      <w:lvlText w:val="%2"/>
      <w:numFmt w:val="lowerRoman"/>
      <w:start w:val="1"/>
    </w:lvl>
  </w:abstractNum>
  <w:abstractNum w:abstractNumId="111">
    <w:nsid w:val="CBE5BE9"/>
    <w:multiLevelType w:val="hybridMultilevel"/>
    <w:lvl w:ilvl="0">
      <w:lvlJc w:val="left"/>
      <w:lvlText w:val="(%1)"/>
      <w:numFmt w:val="lowerRoman"/>
      <w:start w:val="3"/>
    </w:lvl>
    <w:lvl w:ilvl="1">
      <w:lvlJc w:val="left"/>
      <w:lvlText w:val="(%2)"/>
      <w:numFmt w:val="upperLetter"/>
      <w:start w:val="1"/>
    </w:lvl>
  </w:abstractNum>
  <w:abstractNum w:abstractNumId="112">
    <w:nsid w:val="3102BBE2"/>
    <w:multiLevelType w:val="hybridMultilevel"/>
    <w:lvl w:ilvl="0">
      <w:lvlJc w:val="left"/>
      <w:lvlText w:val="(%1)"/>
      <w:numFmt w:val="upperLetter"/>
      <w:start w:val="61"/>
    </w:lvl>
    <w:lvl w:ilvl="1">
      <w:lvlJc w:val="left"/>
      <w:lvlText w:val="(%2)"/>
      <w:numFmt w:val="lowerRoman"/>
      <w:start w:val="5"/>
    </w:lvl>
  </w:abstractNum>
  <w:abstractNum w:abstractNumId="113">
    <w:nsid w:val="26A02C5E"/>
    <w:multiLevelType w:val="hybridMultilevel"/>
    <w:lvl w:ilvl="0">
      <w:lvlJc w:val="left"/>
      <w:lvlText w:val="(%1)"/>
      <w:numFmt w:val="lowerRoman"/>
      <w:start w:val="6"/>
    </w:lvl>
  </w:abstractNum>
  <w:abstractNum w:abstractNumId="114">
    <w:nsid w:val="541C8153"/>
    <w:multiLevelType w:val="hybridMultilevel"/>
    <w:lvl w:ilvl="0">
      <w:lvlJc w:val="left"/>
      <w:lvlText w:val="(%1)"/>
      <w:numFmt w:val="lowerLetter"/>
      <w:start w:val="1"/>
    </w:lvl>
  </w:abstractNum>
  <w:abstractNum w:abstractNumId="115">
    <w:nsid w:val="67906F60"/>
    <w:multiLevelType w:val="hybridMultilevel"/>
    <w:lvl w:ilvl="0">
      <w:lvlJc w:val="left"/>
      <w:lvlText w:val="(%1)"/>
      <w:numFmt w:val="lowerLetter"/>
      <w:start w:val="2"/>
    </w:lvl>
  </w:abstractNum>
  <w:abstractNum w:abstractNumId="116">
    <w:nsid w:val="10DB9DAA"/>
    <w:multiLevelType w:val="hybridMultilevel"/>
    <w:lvl w:ilvl="0">
      <w:lvlJc w:val="left"/>
      <w:lvlText w:val="%1"/>
      <w:numFmt w:val="lowerLetter"/>
      <w:start w:val="1"/>
    </w:lvl>
    <w:lvl w:ilvl="1">
      <w:lvlJc w:val="left"/>
      <w:lvlText w:val="(%2)"/>
      <w:numFmt w:val="lowerLetter"/>
      <w:start w:val="1"/>
    </w:lvl>
  </w:abstractNum>
  <w:abstractNum w:abstractNumId="117">
    <w:nsid w:val="697D2D2"/>
    <w:multiLevelType w:val="hybridMultilevel"/>
    <w:lvl w:ilvl="0">
      <w:lvlJc w:val="left"/>
      <w:lvlText w:val="(%1)"/>
      <w:numFmt w:val="lowerLetter"/>
      <w:start w:val="23"/>
    </w:lvl>
    <w:lvl w:ilvl="1">
      <w:lvlJc w:val="left"/>
      <w:lvlText w:val="(%2)"/>
      <w:numFmt w:val="lowerLetter"/>
      <w:start w:val="3"/>
    </w:lvl>
  </w:abstractNum>
  <w:abstractNum w:abstractNumId="118">
    <w:nsid w:val="6D68AB2"/>
    <w:multiLevelType w:val="hybridMultilevel"/>
    <w:lvl w:ilvl="0">
      <w:lvlJc w:val="left"/>
      <w:lvlText w:val="(%1)"/>
      <w:numFmt w:val="lowerLetter"/>
      <w:start w:val="4"/>
    </w:lvl>
  </w:abstractNum>
  <w:abstractNum w:abstractNumId="119">
    <w:nsid w:val="3A966CD0"/>
    <w:multiLevelType w:val="hybridMultilevel"/>
    <w:lvl w:ilvl="0">
      <w:lvlJc w:val="left"/>
      <w:lvlText w:val="(%1)"/>
      <w:numFmt w:val="lowerLetter"/>
      <w:start w:val="1"/>
    </w:lvl>
  </w:abstractNum>
  <w:abstractNum w:abstractNumId="120">
    <w:nsid w:val="63F37E85"/>
    <w:multiLevelType w:val="hybridMultilevel"/>
    <w:lvl w:ilvl="0">
      <w:lvlJc w:val="left"/>
      <w:lvlText w:val="(%1)"/>
      <w:numFmt w:val="lowerLetter"/>
      <w:start w:val="3"/>
    </w:lvl>
  </w:abstractNum>
  <w:abstractNum w:abstractNumId="121">
    <w:nsid w:val="5895F5FA"/>
    <w:multiLevelType w:val="hybridMultilevel"/>
    <w:lvl w:ilvl="0">
      <w:lvlJc w:val="left"/>
      <w:lvlText w:val="(%1)"/>
      <w:numFmt w:val="lowerLetter"/>
      <w:start w:val="1"/>
    </w:lvl>
  </w:abstractNum>
  <w:abstractNum w:abstractNumId="122">
    <w:nsid w:val="38A5D054"/>
    <w:multiLevelType w:val="hybridMultilevel"/>
    <w:lvl w:ilvl="0">
      <w:lvlJc w:val="left"/>
      <w:lvlText w:val="(%1)"/>
      <w:numFmt w:val="lowerLetter"/>
      <w:start w:val="6"/>
    </w:lvl>
  </w:abstractNum>
  <w:abstractNum w:abstractNumId="123">
    <w:nsid w:val="F3F09D8"/>
    <w:multiLevelType w:val="hybridMultilevel"/>
    <w:lvl w:ilvl="0">
      <w:lvlJc w:val="left"/>
      <w:lvlText w:val="(%1)"/>
      <w:numFmt w:val="lowerLetter"/>
      <w:start w:val="1"/>
    </w:lvl>
    <w:lvl w:ilvl="1">
      <w:lvlJc w:val="left"/>
      <w:lvlText w:val="(%2)"/>
      <w:numFmt w:val="lowerRoman"/>
      <w:start w:val="1"/>
    </w:lvl>
  </w:abstractNum>
  <w:abstractNum w:abstractNumId="124">
    <w:nsid w:val="4B793735"/>
    <w:multiLevelType w:val="hybridMultilevel"/>
    <w:lvl w:ilvl="0">
      <w:lvlJc w:val="left"/>
      <w:lvlText w:val="(%1)"/>
      <w:numFmt w:val="upperLetter"/>
      <w:start w:val="2"/>
    </w:lvl>
  </w:abstractNum>
  <w:abstractNum w:abstractNumId="125">
    <w:nsid w:val="4A10B4E8"/>
    <w:multiLevelType w:val="hybridMultilevel"/>
    <w:lvl w:ilvl="0">
      <w:lvlJc w:val="left"/>
      <w:lvlText w:val="(%1)"/>
      <w:numFmt w:val="upperLetter"/>
      <w:start w:val="1"/>
    </w:lvl>
  </w:abstractNum>
  <w:abstractNum w:abstractNumId="126">
    <w:nsid w:val="43D3BCD4"/>
    <w:multiLevelType w:val="hybridMultilevel"/>
    <w:lvl w:ilvl="0">
      <w:lvlJc w:val="left"/>
      <w:lvlText w:val="(%1)"/>
      <w:numFmt w:val="lowerLetter"/>
      <w:start w:val="2"/>
    </w:lvl>
  </w:abstractNum>
  <w:abstractNum w:abstractNumId="127">
    <w:nsid w:val="4C2A7166"/>
    <w:multiLevelType w:val="hybridMultilevel"/>
    <w:lvl w:ilvl="0">
      <w:lvlJc w:val="left"/>
      <w:lvlText w:val="(%1)"/>
      <w:numFmt w:val="lowerLetter"/>
      <w:start w:val="6"/>
    </w:lvl>
  </w:abstractNum>
  <w:abstractNum w:abstractNumId="128">
    <w:nsid w:val="2E534A82"/>
    <w:multiLevelType w:val="hybridMultilevel"/>
    <w:lvl w:ilvl="0">
      <w:lvlJc w:val="left"/>
      <w:lvlText w:val="(%1)"/>
      <w:numFmt w:val="upperLetter"/>
      <w:start w:val="1"/>
    </w:lvl>
  </w:abstractNum>
  <w:abstractNum w:abstractNumId="129">
    <w:nsid w:val="26F2D364"/>
    <w:multiLevelType w:val="hybridMultilevel"/>
    <w:lvl w:ilvl="0">
      <w:lvlJc w:val="left"/>
      <w:lvlText w:val="(%1)"/>
      <w:numFmt w:val="upperLetter"/>
      <w:start w:val="3"/>
    </w:lvl>
  </w:abstractNum>
  <w:abstractNum w:abstractNumId="130">
    <w:nsid w:val="71C1AF98"/>
    <w:multiLevelType w:val="hybridMultilevel"/>
    <w:lvl w:ilvl="0">
      <w:lvlJc w:val="left"/>
      <w:lvlText w:val="(%1)"/>
      <w:numFmt w:val="lowerLetter"/>
      <w:start w:val="1"/>
    </w:lvl>
    <w:lvl w:ilvl="1">
      <w:lvlJc w:val="left"/>
      <w:lvlText w:val="(%2)"/>
      <w:numFmt w:val="lowerRoman"/>
      <w:start w:val="1"/>
    </w:lvl>
  </w:abstractNum>
  <w:abstractNum w:abstractNumId="131">
    <w:nsid w:val="3D00B9D9"/>
    <w:multiLevelType w:val="hybridMultilevel"/>
    <w:lvl w:ilvl="0">
      <w:lvlJc w:val="left"/>
      <w:lvlText w:val="(%1)"/>
      <w:numFmt w:val="lowerLetter"/>
      <w:start w:val="2"/>
    </w:lvl>
  </w:abstractNum>
  <w:abstractNum w:abstractNumId="132">
    <w:nsid w:val="15BCABA8"/>
    <w:multiLevelType w:val="hybridMultilevel"/>
    <w:lvl w:ilvl="0">
      <w:lvlJc w:val="left"/>
      <w:lvlText w:val="(%1)"/>
      <w:numFmt w:val="lowerLetter"/>
      <w:start w:val="3"/>
    </w:lvl>
  </w:abstractNum>
  <w:abstractNum w:abstractNumId="133">
    <w:nsid w:val="4E0B9A87"/>
    <w:multiLevelType w:val="hybridMultilevel"/>
    <w:lvl w:ilvl="0">
      <w:lvlJc w:val="left"/>
      <w:lvlText w:val="(%1)"/>
      <w:numFmt w:val="lowerLetter"/>
      <w:start w:val="1"/>
    </w:lvl>
  </w:abstractNum>
  <w:abstractNum w:abstractNumId="134">
    <w:nsid w:val="434BAE75"/>
    <w:multiLevelType w:val="hybridMultilevel"/>
    <w:lvl w:ilvl="0">
      <w:lvlJc w:val="left"/>
      <w:lvlText w:val="(%1)"/>
      <w:numFmt w:val="lowerLetter"/>
      <w:start w:val="2"/>
    </w:lvl>
  </w:abstractNum>
  <w:abstractNum w:abstractNumId="135">
    <w:nsid w:val="4F38F265"/>
    <w:multiLevelType w:val="hybridMultilevel"/>
    <w:lvl w:ilvl="0">
      <w:lvlJc w:val="left"/>
      <w:lvlText w:val="(%1)"/>
      <w:numFmt w:val="lowerLetter"/>
      <w:start w:val="1"/>
    </w:lvl>
  </w:abstractNum>
  <w:abstractNum w:abstractNumId="136">
    <w:nsid w:val="4C50287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37">
    <w:nsid w:val="1DE8725A"/>
    <w:multiLevelType w:val="hybridMultilevel"/>
    <w:lvl w:ilvl="0">
      <w:lvlJc w:val="left"/>
      <w:lvlText w:val="(%1)"/>
      <w:numFmt w:val="decimal"/>
      <w:start w:val="20"/>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38">
    <w:nsid w:val="6A37288A"/>
    <w:multiLevelType w:val="hybridMultilevel"/>
    <w:lvl w:ilvl="0">
      <w:lvlJc w:val="left"/>
      <w:lvlText w:val="(%1)"/>
      <w:numFmt w:val="upperLetter"/>
      <w:start w:val="2"/>
    </w:lvl>
    <w:lvl w:ilvl="1">
      <w:lvlJc w:val="left"/>
      <w:lvlText w:val="(%2)"/>
      <w:numFmt w:val="decimal"/>
      <w:start w:val="1"/>
    </w:lvl>
  </w:abstractNum>
  <w:abstractNum w:abstractNumId="139">
    <w:nsid w:val="8F8B73F"/>
    <w:multiLevelType w:val="hybridMultilevel"/>
    <w:lvl w:ilvl="0">
      <w:lvlJc w:val="left"/>
      <w:lvlText w:val="(%1)"/>
      <w:numFmt w:val="upperLetter"/>
      <w:start w:val="4"/>
    </w:lvl>
  </w:abstractNum>
  <w:abstractNum w:abstractNumId="140">
    <w:nsid w:val="CA6B462"/>
    <w:multiLevelType w:val="hybridMultilevel"/>
    <w:lvl w:ilvl="0">
      <w:lvlJc w:val="left"/>
      <w:lvlText w:val="(%1)"/>
      <w:numFmt w:val="lowerLetter"/>
      <w:start w:val="7"/>
    </w:lvl>
  </w:abstractNum>
  <w:abstractNum w:abstractNumId="141">
    <w:nsid w:val="763CB68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42">
    <w:nsid w:val="15B71329"/>
    <w:multiLevelType w:val="hybridMultilevel"/>
    <w:lvl w:ilvl="0">
      <w:lvlJc w:val="left"/>
      <w:lvlText w:val="(%1)"/>
      <w:numFmt w:val="lowerRoman"/>
      <w:start w:val="4"/>
    </w:lvl>
  </w:abstractNum>
  <w:abstractNum w:abstractNumId="143">
    <w:nsid w:val="3DA97044"/>
    <w:multiLevelType w:val="hybridMultilevel"/>
    <w:lvl w:ilvl="0">
      <w:lvlJc w:val="left"/>
      <w:lvlText w:val="(%1)"/>
      <w:numFmt w:val="lowerRoman"/>
      <w:start w:val="5"/>
    </w:lvl>
  </w:abstractNum>
  <w:abstractNum w:abstractNumId="144">
    <w:nsid w:val="1CDCE2DE"/>
    <w:multiLevelType w:val="hybridMultilevel"/>
    <w:lvl w:ilvl="0">
      <w:lvlJc w:val="left"/>
      <w:lvlText w:val="%1"/>
      <w:numFmt w:val="lowerLetter"/>
      <w:start w:val="1"/>
    </w:lvl>
    <w:lvl w:ilvl="1">
      <w:lvlJc w:val="left"/>
      <w:lvlText w:val="(%2)"/>
      <w:numFmt w:val="lowerLetter"/>
      <w:start w:val="1"/>
    </w:lvl>
  </w:abstractNum>
  <w:abstractNum w:abstractNumId="145">
    <w:nsid w:val="69D3947C"/>
    <w:multiLevelType w:val="hybridMultilevel"/>
    <w:lvl w:ilvl="0">
      <w:lvlJc w:val="left"/>
      <w:lvlText w:val="(%1)"/>
      <w:numFmt w:val="lowerLetter"/>
      <w:start w:val="61"/>
    </w:lvl>
    <w:lvl w:ilvl="1">
      <w:lvlJc w:val="left"/>
      <w:lvlText w:val="(%2)"/>
      <w:numFmt w:val="lowerLetter"/>
      <w:start w:val="2"/>
    </w:lvl>
  </w:abstractNum>
  <w:abstractNum w:abstractNumId="146">
    <w:nsid w:val="2539DFA5"/>
    <w:multiLevelType w:val="hybridMultilevel"/>
    <w:lvl w:ilvl="0">
      <w:lvlJc w:val="left"/>
      <w:lvlText w:val="(%1)"/>
      <w:numFmt w:val="lowerLetter"/>
      <w:start w:val="1"/>
    </w:lvl>
    <w:lvl w:ilvl="1">
      <w:lvlJc w:val="left"/>
      <w:lvlText w:val="(%2)"/>
      <w:numFmt w:val="lowerLetter"/>
      <w:start w:val="3"/>
    </w:lvl>
  </w:abstractNum>
  <w:abstractNum w:abstractNumId="147">
    <w:nsid w:val="2DB88089"/>
    <w:multiLevelType w:val="hybridMultilevel"/>
    <w:lvl w:ilvl="0">
      <w:lvlJc w:val="left"/>
      <w:lvlText w:val="(%1)"/>
      <w:numFmt w:val="lowerLetter"/>
      <w:start w:val="6"/>
    </w:lvl>
  </w:abstractNum>
  <w:abstractNum w:abstractNumId="148">
    <w:nsid w:val="706B674E"/>
    <w:multiLevelType w:val="hybridMultilevel"/>
    <w:lvl w:ilvl="0">
      <w:lvlJc w:val="left"/>
      <w:lvlText w:val="(%1)"/>
      <w:numFmt w:val="lowerLetter"/>
      <w:start w:val="1"/>
    </w:lvl>
  </w:abstractNum>
  <w:abstractNum w:abstractNumId="149">
    <w:nsid w:val="2C106A57"/>
    <w:multiLevelType w:val="hybridMultilevel"/>
    <w:lvl w:ilvl="0">
      <w:lvlJc w:val="left"/>
      <w:lvlText w:val="(%1)"/>
      <w:numFmt w:val="lowerLetter"/>
      <w:start w:val="2"/>
    </w:lvl>
  </w:abstractNum>
  <w:abstractNum w:abstractNumId="150">
    <w:nsid w:val="684EED59"/>
    <w:multiLevelType w:val="hybridMultilevel"/>
    <w:lvl w:ilvl="0">
      <w:lvlJc w:val="left"/>
      <w:lvlText w:val="(%1)"/>
      <w:numFmt w:val="lowerLetter"/>
      <w:start w:val="1"/>
    </w:lvl>
  </w:abstractNum>
  <w:abstractNum w:abstractNumId="151">
    <w:nsid w:val="545EE5D3"/>
    <w:multiLevelType w:val="hybridMultilevel"/>
    <w:lvl w:ilvl="0">
      <w:lvlJc w:val="left"/>
      <w:lvlText w:val="(%1)"/>
      <w:numFmt w:val="lowerLetter"/>
      <w:start w:val="3"/>
    </w:lvl>
    <w:lvl w:ilvl="1">
      <w:lvlJc w:val="left"/>
      <w:lvlText w:val="(%2)"/>
      <w:numFmt w:val="lowerRoman"/>
      <w:start w:val="1"/>
    </w:lvl>
  </w:abstractNum>
  <w:abstractNum w:abstractNumId="152">
    <w:nsid w:val="4A66051"/>
    <w:multiLevelType w:val="hybridMultilevel"/>
    <w:lvl w:ilvl="0">
      <w:lvlJc w:val="left"/>
      <w:lvlText w:val="(%1)"/>
      <w:numFmt w:val="lowerLetter"/>
      <w:start w:val="1"/>
    </w:lvl>
  </w:abstractNum>
  <w:abstractNum w:abstractNumId="153">
    <w:nsid w:val="20F4BDAD"/>
    <w:multiLevelType w:val="hybridMultilevel"/>
    <w:lvl w:ilvl="0">
      <w:lvlJc w:val="left"/>
      <w:lvlText w:val="(%1)"/>
      <w:numFmt w:val="lowerLetter"/>
      <w:start w:val="1"/>
    </w:lvl>
  </w:abstractNum>
  <w:abstractNum w:abstractNumId="154">
    <w:nsid w:val="639DEFAC"/>
    <w:multiLevelType w:val="hybridMultilevel"/>
    <w:lvl w:ilvl="0">
      <w:lvlJc w:val="left"/>
      <w:lvlText w:val="(%1)"/>
      <w:numFmt w:val="lowerLetter"/>
      <w:start w:val="2"/>
    </w:lvl>
  </w:abstractNum>
  <w:abstractNum w:abstractNumId="155">
    <w:nsid w:val="501F9786"/>
    <w:multiLevelType w:val="hybridMultilevel"/>
    <w:lvl w:ilvl="0">
      <w:lvlJc w:val="left"/>
      <w:lvlText w:val="(%1)"/>
      <w:numFmt w:val="lowerLetter"/>
      <w:start w:val="3"/>
    </w:lvl>
  </w:abstractNum>
  <w:abstractNum w:abstractNumId="156">
    <w:nsid w:val="6B057295"/>
    <w:multiLevelType w:val="hybridMultilevel"/>
    <w:lvl w:ilvl="0">
      <w:lvlJc w:val="left"/>
      <w:lvlText w:val="(%1)"/>
      <w:numFmt w:val="lowerLetter"/>
      <w:start w:val="4"/>
    </w:lvl>
  </w:abstractNum>
  <w:abstractNum w:abstractNumId="157">
    <w:nsid w:val="2771AC80"/>
    <w:multiLevelType w:val="hybridMultilevel"/>
    <w:lvl w:ilvl="0">
      <w:lvlJc w:val="left"/>
      <w:lvlText w:val="(%1)"/>
      <w:numFmt w:val="lowerLetter"/>
      <w:start w:val="1"/>
    </w:lvl>
  </w:abstractNum>
  <w:abstractNum w:abstractNumId="158">
    <w:nsid w:val="1C4A08EC"/>
    <w:multiLevelType w:val="hybridMultilevel"/>
    <w:lvl w:ilvl="0">
      <w:lvlJc w:val="left"/>
      <w:lvlText w:val="(%1)"/>
      <w:numFmt w:val="lowerLetter"/>
      <w:start w:val="2"/>
    </w:lvl>
  </w:abstractNum>
  <w:abstractNum w:abstractNumId="159">
    <w:nsid w:val="1958BD17"/>
    <w:multiLevelType w:val="hybridMultilevel"/>
    <w:lvl w:ilvl="0">
      <w:lvlJc w:val="left"/>
      <w:lvlText w:val="(%1)"/>
      <w:numFmt w:val="lowerLetter"/>
      <w:start w:val="1"/>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lowerLetter"/>
      <w:start w:val="2"/>
    </w:lvl>
  </w:abstractNum>
  <w:abstractNum w:abstractNumId="162">
    <w:nsid w:val="565976F1"/>
    <w:multiLevelType w:val="hybridMultilevel"/>
    <w:lvl w:ilvl="0">
      <w:lvlJc w:val="left"/>
      <w:lvlText w:val="(%1)"/>
      <w:numFmt w:val="lowerLetter"/>
      <w:start w:val="1"/>
    </w:lvl>
  </w:abstractNum>
  <w:abstractNum w:abstractNumId="163">
    <w:nsid w:val="64212B8C"/>
    <w:multiLevelType w:val="hybridMultilevel"/>
    <w:lvl w:ilvl="0">
      <w:lvlJc w:val="left"/>
      <w:lvlText w:val="(%1)"/>
      <w:numFmt w:val="lowerLetter"/>
      <w:start w:val="6"/>
    </w:lvl>
  </w:abstractNum>
  <w:abstractNum w:abstractNumId="164">
    <w:nsid w:val="5C17530C"/>
    <w:multiLevelType w:val="hybridMultilevel"/>
    <w:lvl w:ilvl="0">
      <w:lvlJc w:val="left"/>
      <w:lvlText w:val="(%1)"/>
      <w:numFmt w:val="lowerLetter"/>
      <w:start w:val="1"/>
    </w:lvl>
  </w:abstractNum>
  <w:abstractNum w:abstractNumId="165">
    <w:nsid w:val="19A52566"/>
    <w:multiLevelType w:val="hybridMultilevel"/>
    <w:lvl w:ilvl="0">
      <w:lvlJc w:val="left"/>
      <w:lvlText w:val="(%1)"/>
      <w:numFmt w:val="lowerLetter"/>
      <w:start w:val="3"/>
    </w:lvl>
  </w:abstractNum>
  <w:abstractNum w:abstractNumId="166">
    <w:nsid w:val="335A1DF1"/>
    <w:multiLevelType w:val="hybridMultilevel"/>
    <w:lvl w:ilvl="0">
      <w:lvlJc w:val="left"/>
      <w:lvlText w:val="(%1)"/>
      <w:numFmt w:val="lowerLetter"/>
      <w:start w:val="1"/>
    </w:lvl>
  </w:abstractNum>
  <w:abstractNum w:abstractNumId="167">
    <w:nsid w:val="28677B7C"/>
    <w:multiLevelType w:val="hybridMultilevel"/>
    <w:lvl w:ilvl="0">
      <w:lvlJc w:val="left"/>
      <w:lvlText w:val="(%1)"/>
      <w:numFmt w:val="lowerLetter"/>
      <w:start w:val="7"/>
    </w:lvl>
  </w:abstractNum>
  <w:abstractNum w:abstractNumId="168">
    <w:nsid w:val="378D97C0"/>
    <w:multiLevelType w:val="hybridMultilevel"/>
    <w:lvl w:ilvl="0">
      <w:lvlJc w:val="left"/>
      <w:lvlText w:val="(%1)"/>
      <w:numFmt w:val="lowerLetter"/>
      <w:start w:val="1"/>
    </w:lvl>
  </w:abstractNum>
  <w:abstractNum w:abstractNumId="169">
    <w:nsid w:val="1D91467C"/>
    <w:multiLevelType w:val="hybridMultilevel"/>
    <w:lvl w:ilvl="0">
      <w:lvlJc w:val="left"/>
      <w:lvlText w:val="(%1)"/>
      <w:numFmt w:val="lowerLetter"/>
      <w:start w:val="1"/>
    </w:lvl>
  </w:abstractNum>
  <w:abstractNum w:abstractNumId="170">
    <w:nsid w:val="316032BB"/>
    <w:multiLevelType w:val="hybridMultilevel"/>
    <w:lvl w:ilvl="0">
      <w:lvlJc w:val="left"/>
      <w:lvlText w:val="(%1)"/>
      <w:numFmt w:val="lowerLetter"/>
      <w:start w:val="4"/>
    </w:lvl>
  </w:abstractNum>
  <w:abstractNum w:abstractNumId="171">
    <w:nsid w:val="44344C22"/>
    <w:multiLevelType w:val="hybridMultilevel"/>
    <w:lvl w:ilvl="0">
      <w:lvlJc w:val="left"/>
      <w:lvlText w:val="(%1)"/>
      <w:numFmt w:val="lowerLetter"/>
      <w:start w:val="2"/>
    </w:lvl>
  </w:abstractNum>
  <w:abstractNum w:abstractNumId="172">
    <w:nsid w:val="13CDFCFC"/>
    <w:multiLevelType w:val="hybridMultilevel"/>
    <w:lvl w:ilvl="0">
      <w:lvlJc w:val="left"/>
      <w:lvlText w:val="(%1)"/>
      <w:numFmt w:val="lowerLetter"/>
      <w:start w:val="1"/>
    </w:lvl>
  </w:abstractNum>
  <w:abstractNum w:abstractNumId="173">
    <w:nsid w:val="471745E4"/>
    <w:multiLevelType w:val="hybridMultilevel"/>
    <w:lvl w:ilvl="0">
      <w:lvlJc w:val="left"/>
      <w:lvlText w:val="(%1)"/>
      <w:numFmt w:val="lowerLetter"/>
      <w:start w:val="5"/>
    </w:lvl>
  </w:abstractNum>
  <w:abstractNum w:abstractNumId="174">
    <w:nsid w:val="1DDBC66"/>
    <w:multiLevelType w:val="hybridMultilevel"/>
    <w:lvl w:ilvl="0">
      <w:lvlJc w:val="left"/>
      <w:lvlText w:val="(%1)"/>
      <w:numFmt w:val="lowerLetter"/>
      <w:start w:val="1"/>
    </w:lvl>
  </w:abstractNum>
  <w:abstractNum w:abstractNumId="175">
    <w:nsid w:val="30AADFDA"/>
    <w:multiLevelType w:val="hybridMultilevel"/>
    <w:lvl w:ilvl="0">
      <w:lvlJc w:val="left"/>
      <w:lvlText w:val="(%1)"/>
      <w:numFmt w:val="lowerRoman"/>
      <w:start w:val="2"/>
    </w:lvl>
  </w:abstractNum>
  <w:abstractNum w:abstractNumId="176">
    <w:nsid w:val="30EADA61"/>
    <w:multiLevelType w:val="hybridMultilevel"/>
    <w:lvl w:ilvl="0">
      <w:lvlJc w:val="left"/>
      <w:lvlText w:val="(%1)"/>
      <w:numFmt w:val="lowerLetter"/>
      <w:start w:val="1"/>
    </w:lvl>
  </w:abstractNum>
  <w:abstractNum w:abstractNumId="177">
    <w:nsid w:val="27179C0B"/>
    <w:multiLevelType w:val="hybridMultilevel"/>
    <w:lvl w:ilvl="0">
      <w:lvlJc w:val="left"/>
      <w:lvlText w:val="(%1)"/>
      <w:numFmt w:val="upperLetter"/>
      <w:start w:val="3"/>
    </w:lvl>
  </w:abstractNum>
  <w:abstractNum w:abstractNumId="178">
    <w:nsid w:val="5E636063"/>
    <w:multiLevelType w:val="hybridMultilevel"/>
    <w:lvl w:ilvl="0">
      <w:lvlJc w:val="left"/>
      <w:lvlText w:val="(%1)"/>
      <w:numFmt w:val="lowerLetter"/>
      <w:start w:val="1"/>
    </w:lvl>
  </w:abstractNum>
  <w:abstractNum w:abstractNumId="179">
    <w:nsid w:val="215641AF"/>
    <w:multiLevelType w:val="hybridMultilevel"/>
    <w:lvl w:ilvl="0">
      <w:lvlJc w:val="left"/>
      <w:lvlText w:val="%1"/>
      <w:numFmt w:val="lowerLetter"/>
      <w:start w:val="1"/>
    </w:lvl>
    <w:lvl w:ilvl="1">
      <w:lvlJc w:val="left"/>
      <w:lvlText w:val="(%2)"/>
      <w:numFmt w:val="lowerLetter"/>
      <w:start w:val="1"/>
    </w:lvl>
  </w:abstractNum>
  <w:abstractNum w:abstractNumId="180">
    <w:nsid w:val="53280662"/>
    <w:multiLevelType w:val="hybridMultilevel"/>
    <w:lvl w:ilvl="0">
      <w:lvlJc w:val="left"/>
      <w:lvlText w:val="(%1)"/>
      <w:numFmt w:val="lowerLetter"/>
      <w:start w:val="35"/>
    </w:lvl>
    <w:lvl w:ilvl="1">
      <w:lvlJc w:val="left"/>
      <w:lvlText w:val="(%2)"/>
      <w:numFmt w:val="lowerLetter"/>
      <w:start w:val="4"/>
    </w:lvl>
  </w:abstractNum>
  <w:abstractNum w:abstractNumId="181">
    <w:nsid w:val="46B24DBC"/>
    <w:multiLevelType w:val="hybridMultilevel"/>
    <w:lvl w:ilvl="0">
      <w:lvlJc w:val="left"/>
      <w:lvlText w:val="%1"/>
      <w:numFmt w:val="upperLetter"/>
      <w:start w:val="1"/>
    </w:lvl>
    <w:lvl w:ilvl="1">
      <w:lvlJc w:val="left"/>
      <w:lvlText w:val="(%2)"/>
      <w:numFmt w:val="lowerLetter"/>
      <w:start w:val="7"/>
    </w:lvl>
  </w:abstractNum>
  <w:abstractNum w:abstractNumId="182">
    <w:nsid w:val="75B52783"/>
    <w:multiLevelType w:val="hybridMultilevel"/>
    <w:lvl w:ilvl="0">
      <w:lvlJc w:val="left"/>
      <w:lvlText w:val="(%1)"/>
      <w:numFmt w:val="upperLetter"/>
      <w:start w:val="1"/>
    </w:lvl>
    <w:lvl w:ilvl="1">
      <w:lvlJc w:val="left"/>
      <w:lvlText w:val="(%2)"/>
      <w:numFmt w:val="lowerLetter"/>
      <w:start w:val="11"/>
    </w:lvl>
  </w:abstractNum>
  <w:abstractNum w:abstractNumId="183">
    <w:nsid w:val="57CE66B4"/>
    <w:multiLevelType w:val="hybridMultilevel"/>
    <w:lvl w:ilvl="0">
      <w:lvlJc w:val="left"/>
      <w:lvlText w:val="%1"/>
      <w:numFmt w:val="lowerLetter"/>
      <w:start w:val="1"/>
    </w:lvl>
    <w:lvl w:ilvl="1">
      <w:lvlJc w:val="left"/>
      <w:lvlText w:val="(%2)"/>
      <w:numFmt w:val="lowerLetter"/>
      <w:start w:val="13"/>
    </w:lvl>
  </w:abstractNum>
  <w:abstractNum w:abstractNumId="184">
    <w:nsid w:val="67A70B69"/>
    <w:multiLevelType w:val="hybridMultilevel"/>
    <w:lvl w:ilvl="0">
      <w:lvlJc w:val="left"/>
      <w:lvlText w:val="(%1)"/>
      <w:numFmt w:val="lowerLetter"/>
      <w:start w:val="25"/>
    </w:lvl>
    <w:lvl w:ilvl="1">
      <w:lvlJc w:val="left"/>
      <w:lvlText w:val="(%2)"/>
      <w:numFmt w:val="lowerLetter"/>
      <w:start w:val="15"/>
    </w:lvl>
  </w:abstractNum>
  <w:abstractNum w:abstractNumId="185">
    <w:nsid w:val="5953172F"/>
    <w:multiLevelType w:val="hybridMultilevel"/>
    <w:lvl w:ilvl="0">
      <w:lvlJc w:val="left"/>
      <w:lvlText w:val="(%1)"/>
      <w:numFmt w:val="lowerLetter"/>
      <w:start w:val="22"/>
    </w:lvl>
  </w:abstractNum>
  <w:abstractNum w:abstractNumId="186">
    <w:nsid w:val="27EDFE3A"/>
    <w:multiLevelType w:val="hybridMultilevel"/>
    <w:lvl w:ilvl="0">
      <w:lvlJc w:val="left"/>
      <w:lvlText w:val="(%1)"/>
      <w:numFmt w:val="lowerLetter"/>
      <w:start w:val="1"/>
    </w:lvl>
  </w:abstractNum>
  <w:abstractNum w:abstractNumId="187">
    <w:nsid w:val="52AC7DFF"/>
    <w:multiLevelType w:val="hybridMultilevel"/>
    <w:lvl w:ilvl="0">
      <w:lvlJc w:val="left"/>
      <w:lvlText w:val="%1"/>
      <w:numFmt w:val="upperLetter"/>
      <w:start w:val="1"/>
    </w:lvl>
    <w:lvl w:ilvl="1">
      <w:lvlJc w:val="left"/>
      <w:lvlText w:val="(%2)"/>
      <w:numFmt w:val="lowerLetter"/>
      <w:start w:val="4"/>
    </w:lvl>
  </w:abstractNum>
  <w:abstractNum w:abstractNumId="188">
    <w:nsid w:val="C4C3AF"/>
    <w:multiLevelType w:val="hybridMultilevel"/>
    <w:lvl w:ilvl="0">
      <w:lvlJc w:val="left"/>
      <w:lvlText w:val="(%1)"/>
      <w:numFmt w:val="upperLetter"/>
      <w:start w:val="2"/>
    </w:lvl>
    <w:lvl w:ilvl="1">
      <w:lvlJc w:val="left"/>
      <w:lvlText w:val="%2"/>
      <w:numFmt w:val="lowerLetter"/>
      <w:start w:val="1"/>
    </w:lvl>
  </w:abstractNum>
  <w:abstractNum w:abstractNumId="189">
    <w:nsid w:val="44380727"/>
    <w:multiLevelType w:val="hybridMultilevel"/>
    <w:lvl w:ilvl="0">
      <w:lvlJc w:val="left"/>
      <w:lvlText w:val="(%1)"/>
      <w:numFmt w:val="lowerLetter"/>
      <w:start w:val="9"/>
    </w:lvl>
  </w:abstractNum>
  <w:abstractNum w:abstractNumId="190">
    <w:nsid w:val="6C053B16"/>
    <w:multiLevelType w:val="hybridMultilevel"/>
    <w:lvl w:ilvl="0">
      <w:lvlJc w:val="left"/>
      <w:lvlText w:val="(%1)"/>
      <w:numFmt w:val="lowerLetter"/>
      <w:start w:val="1"/>
    </w:lvl>
    <w:lvl w:ilvl="1">
      <w:lvlJc w:val="left"/>
      <w:lvlText w:val="(%2)"/>
      <w:numFmt w:val="lowerRoman"/>
      <w:start w:val="1"/>
    </w:lvl>
  </w:abstractNum>
  <w:abstractNum w:abstractNumId="191">
    <w:nsid w:val="4F294393"/>
    <w:multiLevelType w:val="hybridMultilevel"/>
    <w:lvl w:ilvl="0">
      <w:lvlJc w:val="left"/>
      <w:lvlText w:val="(%1)"/>
      <w:numFmt w:val="lowerRoman"/>
      <w:start w:val="6"/>
    </w:lvl>
  </w:abstractNum>
  <w:abstractNum w:abstractNumId="192">
    <w:nsid w:val="5243BFAC"/>
    <w:multiLevelType w:val="hybridMultilevel"/>
    <w:lvl w:ilvl="0">
      <w:lvlJc w:val="left"/>
      <w:lvlText w:val="%1"/>
      <w:numFmt w:val="lowerLetter"/>
      <w:start w:val="1"/>
    </w:lvl>
    <w:lvl w:ilvl="1">
      <w:lvlJc w:val="left"/>
      <w:lvlText w:val="(%2)"/>
      <w:numFmt w:val="lowerRoman"/>
      <w:start w:val="17"/>
    </w:lvl>
  </w:abstractNum>
  <w:abstractNum w:abstractNumId="193">
    <w:nsid w:val="425EB207"/>
    <w:multiLevelType w:val="hybridMultilevel"/>
    <w:lvl w:ilvl="0">
      <w:lvlJc w:val="left"/>
      <w:lvlText w:val="(%1)"/>
      <w:numFmt w:val="lowerLetter"/>
      <w:start w:val="25"/>
    </w:lvl>
    <w:lvl w:ilvl="1">
      <w:lvlJc w:val="left"/>
      <w:lvlText w:val="(%2)"/>
      <w:numFmt w:val="lowerRoman"/>
      <w:start w:val="19"/>
    </w:lvl>
  </w:abstractNum>
  <w:abstractNum w:abstractNumId="194">
    <w:nsid w:val="334A6F1F"/>
    <w:multiLevelType w:val="hybridMultilevel"/>
    <w:lvl w:ilvl="0">
      <w:lvlJc w:val="left"/>
      <w:lvlText w:val="(%1)"/>
      <w:numFmt w:val="lowerRoman"/>
      <w:start w:val="24"/>
    </w:lvl>
  </w:abstractNum>
  <w:abstractNum w:abstractNumId="195">
    <w:nsid w:val="2E5B12B8"/>
    <w:multiLevelType w:val="hybridMultilevel"/>
    <w:lvl w:ilvl="0">
      <w:lvlJc w:val="left"/>
      <w:lvlText w:val="%1"/>
      <w:numFmt w:val="upperLetter"/>
      <w:start w:val="1"/>
    </w:lvl>
    <w:lvl w:ilvl="1">
      <w:lvlJc w:val="left"/>
      <w:lvlText w:val="(%2)"/>
      <w:numFmt w:val="lowerRoman"/>
      <w:start w:val="27"/>
    </w:lvl>
  </w:abstractNum>
  <w:abstractNum w:abstractNumId="196">
    <w:nsid w:val="5C03D76D"/>
    <w:multiLevelType w:val="hybridMultilevel"/>
    <w:lvl w:ilvl="0">
      <w:lvlJc w:val="left"/>
      <w:lvlText w:val="(%1)"/>
      <w:numFmt w:val="upperLetter"/>
      <w:start w:val="2"/>
    </w:lvl>
    <w:lvl w:ilvl="1">
      <w:lvlJc w:val="left"/>
      <w:lvlText w:val="%2"/>
      <w:numFmt w:val="lowerRoman"/>
      <w:start w:val="1"/>
    </w:lvl>
  </w:abstractNum>
  <w:abstractNum w:abstractNumId="197">
    <w:nsid w:val="66A48D11"/>
    <w:multiLevelType w:val="hybridMultilevel"/>
    <w:lvl w:ilvl="0">
      <w:lvlJc w:val="left"/>
      <w:lvlText w:val="(%1)"/>
      <w:numFmt w:val="lowerLetter"/>
      <w:start w:val="2"/>
    </w:lvl>
  </w:abstractNum>
  <w:abstractNum w:abstractNumId="198">
    <w:nsid w:val="56C28E34"/>
    <w:multiLevelType w:val="hybridMultilevel"/>
    <w:lvl w:ilvl="0">
      <w:lvlJc w:val="left"/>
      <w:lvlText w:val="(%1)"/>
      <w:numFmt w:val="lowerLetter"/>
      <w:start w:val="1"/>
    </w:lvl>
  </w:abstractNum>
  <w:abstractNum w:abstractNumId="199">
    <w:nsid w:val="13916F2D"/>
    <w:multiLevelType w:val="hybridMultilevel"/>
    <w:lvl w:ilvl="0">
      <w:lvlJc w:val="left"/>
      <w:lvlText w:val="(%1)"/>
      <w:numFmt w:val="lowerRoman"/>
      <w:start w:val="4"/>
    </w:lvl>
    <w:lvl w:ilvl="1">
      <w:lvlJc w:val="left"/>
      <w:lvlText w:val="(%2)"/>
      <w:numFmt w:val="lowerLetter"/>
      <w:start w:val="4"/>
    </w:lvl>
  </w:abstractNum>
  <w:abstractNum w:abstractNumId="200">
    <w:nsid w:val="435D38D"/>
    <w:multiLevelType w:val="hybridMultilevel"/>
    <w:lvl w:ilvl="0">
      <w:lvlJc w:val="left"/>
      <w:lvlText w:val="(%1)"/>
      <w:numFmt w:val="lowerLetter"/>
      <w:start w:val="12"/>
    </w:lvl>
  </w:abstractNum>
  <w:abstractNum w:abstractNumId="201">
    <w:nsid w:val="822C0EF"/>
    <w:multiLevelType w:val="hybridMultilevel"/>
    <w:lvl w:ilvl="0">
      <w:lvlJc w:val="left"/>
      <w:lvlText w:val="(%1)"/>
      <w:numFmt w:val="lowerLetter"/>
      <w:start w:val="24"/>
    </w:lvl>
  </w:abstractNum>
  <w:abstractNum w:abstractNumId="202">
    <w:nsid w:val="57C5BB4F"/>
    <w:multiLevelType w:val="hybridMultilevel"/>
    <w:lvl w:ilvl="0">
      <w:lvlJc w:val="left"/>
      <w:lvlText w:val="%1"/>
      <w:numFmt w:val="lowerLetter"/>
      <w:start w:val="1"/>
    </w:lvl>
    <w:lvl w:ilvl="1">
      <w:lvlJc w:val="left"/>
      <w:lvlText w:val="(%2)"/>
      <w:numFmt w:val="lowerLetter"/>
      <w:start w:val="27"/>
    </w:lvl>
  </w:abstractNum>
  <w:abstractNum w:abstractNumId="203">
    <w:nsid w:val="1803D089"/>
    <w:multiLevelType w:val="hybridMultilevel"/>
    <w:lvl w:ilvl="0">
      <w:lvlJc w:val="left"/>
      <w:lvlText w:val="(%1)"/>
      <w:numFmt w:val="lowerLetter"/>
      <w:start w:val="35"/>
    </w:lvl>
    <w:lvl w:ilvl="1">
      <w:lvlJc w:val="left"/>
      <w:lvlText w:val="%2"/>
      <w:numFmt w:val="lowerLetter"/>
      <w:start w:val="1"/>
    </w:lvl>
  </w:abstractNum>
  <w:abstractNum w:abstractNumId="204">
    <w:nsid w:val="4F3A06D4"/>
    <w:multiLevelType w:val="hybridMultilevel"/>
    <w:lvl w:ilvl="0">
      <w:lvlJc w:val="left"/>
      <w:lvlText w:val="(%1)"/>
      <w:numFmt w:val="lowerLetter"/>
      <w:start w:val="1"/>
    </w:lvl>
  </w:abstractNum>
  <w:abstractNum w:abstractNumId="205">
    <w:nsid w:val="59A377B6"/>
    <w:multiLevelType w:val="hybridMultilevel"/>
    <w:lvl w:ilvl="0">
      <w:lvlJc w:val="left"/>
      <w:lvlText w:val="%1"/>
      <w:numFmt w:val="lowerLetter"/>
      <w:start w:val="1"/>
    </w:lvl>
    <w:lvl w:ilvl="1">
      <w:lvlJc w:val="left"/>
      <w:lvlText w:val="(%2)"/>
      <w:numFmt w:val="lowerRoman"/>
      <w:start w:val="1"/>
    </w:lvl>
  </w:abstractNum>
  <w:abstractNum w:abstractNumId="206">
    <w:nsid w:val="48AEB063"/>
    <w:multiLevelType w:val="hybridMultilevel"/>
    <w:lvl w:ilvl="0">
      <w:lvlJc w:val="left"/>
      <w:lvlText w:val="(%1)"/>
      <w:numFmt w:val="lowerLetter"/>
      <w:start w:val="9"/>
    </w:lvl>
    <w:lvl w:ilvl="1">
      <w:lvlJc w:val="left"/>
      <w:lvlText w:val="%2"/>
      <w:numFmt w:val="lowerRoman"/>
      <w:start w:val="1"/>
    </w:lvl>
  </w:abstractNum>
  <w:abstractNum w:abstractNumId="207">
    <w:nsid w:val="24E135"/>
    <w:multiLevelType w:val="hybridMultilevel"/>
    <w:lvl w:ilvl="0">
      <w:lvlJc w:val="left"/>
      <w:lvlText w:val="(%1)"/>
      <w:numFmt w:val="lowerLetter"/>
      <w:start w:val="11"/>
    </w:lvl>
    <w:lvl w:ilvl="1">
      <w:lvlJc w:val="left"/>
      <w:lvlText w:val="(%2)"/>
      <w:numFmt w:val="lowerRoman"/>
      <w:start w:val="1"/>
    </w:lvl>
  </w:abstractNum>
  <w:abstractNum w:abstractNumId="208">
    <w:nsid w:val="BB13C1"/>
    <w:multiLevelType w:val="hybridMultilevel"/>
    <w:lvl w:ilvl="0">
      <w:lvlJc w:val="left"/>
      <w:lvlText w:val="(%1)"/>
      <w:numFmt w:val="lowerLetter"/>
      <w:start w:val="1"/>
    </w:lvl>
  </w:abstractNum>
  <w:abstractNum w:abstractNumId="209">
    <w:nsid w:val="271210C7"/>
    <w:multiLevelType w:val="hybridMultilevel"/>
    <w:lvl w:ilvl="0">
      <w:lvlJc w:val="left"/>
      <w:lvlText w:val="(%1)"/>
      <w:numFmt w:val="lowerLetter"/>
      <w:start w:val="6"/>
    </w:lvl>
  </w:abstractNum>
  <w:abstractNum w:abstractNumId="210">
    <w:nsid w:val="217B22E4"/>
    <w:multiLevelType w:val="hybridMultilevel"/>
    <w:lvl w:ilvl="0">
      <w:lvlJc w:val="left"/>
      <w:lvlText w:val="(%1)"/>
      <w:numFmt w:val="upperLetter"/>
      <w:start w:val="2"/>
    </w:lvl>
    <w:lvl w:ilvl="1">
      <w:lvlJc w:val="left"/>
      <w:lvlText w:val="(%2)"/>
      <w:numFmt w:val="lowerLetter"/>
      <w:start w:val="1"/>
    </w:lvl>
  </w:abstractNum>
  <w:abstractNum w:abstractNumId="211">
    <w:nsid w:val="53E31A24"/>
    <w:multiLevelType w:val="hybridMultilevel"/>
    <w:lvl w:ilvl="0">
      <w:lvlJc w:val="left"/>
      <w:lvlText w:val="(%1)"/>
      <w:numFmt w:val="lowerLetter"/>
      <w:start w:val="10"/>
    </w:lvl>
  </w:abstractNum>
  <w:abstractNum w:abstractNumId="212">
    <w:nsid w:val="6DC45E83"/>
    <w:multiLevelType w:val="hybridMultilevel"/>
    <w:lvl w:ilvl="0">
      <w:lvlJc w:val="left"/>
      <w:lvlText w:val="(%1)"/>
      <w:numFmt w:val="lowerLetter"/>
      <w:start w:val="20"/>
    </w:lvl>
  </w:abstractNum>
  <w:abstractNum w:abstractNumId="213">
    <w:nsid w:val="17304A67"/>
    <w:multiLevelType w:val="hybridMultilevel"/>
    <w:lvl w:ilvl="0">
      <w:lvlJc w:val="left"/>
      <w:lvlText w:val="(%1)"/>
      <w:numFmt w:val="lowerRoman"/>
      <w:start w:val="2"/>
    </w:lvl>
  </w:abstractNum>
  <w:abstractNum w:abstractNumId="214">
    <w:nsid w:val="2BB180D8"/>
    <w:multiLevelType w:val="hybridMultilevel"/>
    <w:lvl w:ilvl="0">
      <w:lvlJc w:val="left"/>
      <w:lvlText w:val="(%1)"/>
      <w:numFmt w:val="lowerLetter"/>
      <w:start w:val="1"/>
    </w:lvl>
  </w:abstractNum>
  <w:abstractNum w:abstractNumId="215">
    <w:nsid w:val="556B69ED"/>
    <w:multiLevelType w:val="hybridMultilevel"/>
    <w:lvl w:ilvl="0">
      <w:lvlJc w:val="left"/>
      <w:lvlText w:val="(%1)"/>
      <w:numFmt w:val="lowerLetter"/>
      <w:start w:val="1"/>
    </w:lvl>
  </w:abstractNum>
  <w:abstractNum w:abstractNumId="216">
    <w:nsid w:val="70836196"/>
    <w:multiLevelType w:val="hybridMultilevel"/>
    <w:lvl w:ilvl="0">
      <w:lvlJc w:val="left"/>
      <w:lvlText w:val="%1"/>
      <w:numFmt w:val="lowerLetter"/>
      <w:start w:val="1"/>
    </w:lvl>
    <w:lvl w:ilvl="1">
      <w:lvlJc w:val="left"/>
      <w:lvlText w:val="(%2)"/>
      <w:numFmt w:val="lowerLetter"/>
      <w:start w:val="6"/>
    </w:lvl>
  </w:abstractNum>
  <w:abstractNum w:abstractNumId="217">
    <w:nsid w:val="539F7F12"/>
    <w:multiLevelType w:val="hybridMultilevel"/>
    <w:lvl w:ilvl="0">
      <w:lvlJc w:val="left"/>
      <w:lvlText w:val="(%1)"/>
      <w:numFmt w:val="lowerLetter"/>
      <w:start w:val="9"/>
    </w:lvl>
    <w:lvl w:ilvl="1">
      <w:lvlJc w:val="left"/>
      <w:lvlText w:val="%2"/>
      <w:numFmt w:val="lowerLetter"/>
      <w:start w:val="1"/>
    </w:lvl>
  </w:abstractNum>
  <w:abstractNum w:abstractNumId="218">
    <w:nsid w:val="2817E7EC"/>
    <w:multiLevelType w:val="hybridMultilevel"/>
    <w:lvl w:ilvl="0">
      <w:lvlJc w:val="left"/>
      <w:lvlText w:val="(%1)"/>
      <w:numFmt w:val="lowerLetter"/>
      <w:start w:val="10"/>
    </w:lvl>
  </w:abstractNum>
  <w:abstractNum w:abstractNumId="219">
    <w:nsid w:val="71482545"/>
    <w:multiLevelType w:val="hybridMultilevel"/>
    <w:lvl w:ilvl="0">
      <w:lvlJc w:val="left"/>
      <w:lvlText w:val="(%1)"/>
      <w:numFmt w:val="decimal"/>
      <w:start w:val="15"/>
    </w:lvl>
  </w:abstractNum>
  <w:abstractNum w:abstractNumId="220">
    <w:nsid w:val="17D78639"/>
    <w:multiLevelType w:val="hybridMultilevel"/>
    <w:lvl w:ilvl="0">
      <w:lvlJc w:val="left"/>
      <w:lvlText w:val="(%1)"/>
      <w:numFmt w:val="lowerLetter"/>
      <w:start w:val="1"/>
    </w:lvl>
  </w:abstractNum>
  <w:abstractNum w:abstractNumId="221">
    <w:nsid w:val="141D2302"/>
    <w:multiLevelType w:val="hybridMultilevel"/>
    <w:lvl w:ilvl="0">
      <w:lvlJc w:val="left"/>
      <w:lvlText w:val="(%1)"/>
      <w:numFmt w:val="lowerLetter"/>
      <w:start w:val="3"/>
    </w:lvl>
    <w:lvl w:ilvl="1">
      <w:lvlJc w:val="left"/>
      <w:lvlText w:val="(%2)"/>
      <w:numFmt w:val="lowerRoman"/>
      <w:start w:val="1"/>
    </w:lvl>
  </w:abstractNum>
  <w:abstractNum w:abstractNumId="222">
    <w:nsid w:val="407168D8"/>
    <w:multiLevelType w:val="hybridMultilevel"/>
    <w:lvl w:ilvl="0">
      <w:lvlJc w:val="left"/>
      <w:lvlText w:val="(%1)"/>
      <w:numFmt w:val="lowerRoman"/>
      <w:start w:val="1"/>
    </w:lvl>
  </w:abstractNum>
  <w:abstractNum w:abstractNumId="223">
    <w:nsid w:val="6A1B45E5"/>
    <w:multiLevelType w:val="hybridMultilevel"/>
    <w:lvl w:ilvl="0">
      <w:lvlJc w:val="left"/>
      <w:lvlText w:val="(%1)"/>
      <w:numFmt w:val="lowerLetter"/>
      <w:start w:val="7"/>
    </w:lvl>
  </w:abstractNum>
  <w:abstractNum w:abstractNumId="224">
    <w:nsid w:val="567BD50A"/>
    <w:multiLevelType w:val="hybridMultilevel"/>
    <w:lvl w:ilvl="0">
      <w:lvlJc w:val="left"/>
      <w:lvlText w:val="(%1)"/>
      <w:numFmt w:val="lowerLetter"/>
      <w:start w:val="1"/>
    </w:lvl>
  </w:abstractNum>
  <w:abstractNum w:abstractNumId="225">
    <w:nsid w:val="73BBD7F8"/>
    <w:multiLevelType w:val="hybridMultilevel"/>
    <w:lvl w:ilvl="0">
      <w:lvlJc w:val="left"/>
      <w:lvlText w:val="(%1)"/>
      <w:numFmt w:val="lowerLetter"/>
      <w:start w:val="2"/>
    </w:lvl>
  </w:abstractNum>
  <w:abstractNum w:abstractNumId="226">
    <w:nsid w:val="1876589D"/>
    <w:multiLevelType w:val="hybridMultilevel"/>
    <w:lvl w:ilvl="0">
      <w:lvlJc w:val="left"/>
      <w:lvlText w:val="(%1)"/>
      <w:numFmt w:val="lowerLetter"/>
      <w:start w:val="1"/>
    </w:lvl>
  </w:abstractNum>
  <w:abstractNum w:abstractNumId="227">
    <w:nsid w:val="327FAC77"/>
    <w:multiLevelType w:val="hybridMultilevel"/>
    <w:lvl w:ilvl="0">
      <w:lvlJc w:val="left"/>
      <w:lvlText w:val="(%1)"/>
      <w:numFmt w:val="lowerLetter"/>
      <w:start w:val="2"/>
    </w:lvl>
  </w:abstractNum>
  <w:abstractNum w:abstractNumId="228">
    <w:nsid w:val="5A606509"/>
    <w:multiLevelType w:val="hybridMultilevel"/>
    <w:lvl w:ilvl="0">
      <w:lvlJc w:val="left"/>
      <w:lvlText w:val="(%1)"/>
      <w:numFmt w:val="lowerLetter"/>
      <w:start w:val="4"/>
    </w:lvl>
  </w:abstractNum>
  <w:abstractNum w:abstractNumId="229">
    <w:nsid w:val="6F38E6D1"/>
    <w:multiLevelType w:val="hybridMultilevel"/>
    <w:lvl w:ilvl="0">
      <w:lvlJc w:val="left"/>
      <w:lvlText w:val="(%1)"/>
      <w:numFmt w:val="lowerLetter"/>
      <w:start w:val="5"/>
    </w:lvl>
  </w:abstractNum>
  <w:abstractNum w:abstractNumId="230">
    <w:nsid w:val="46111BA5"/>
    <w:multiLevelType w:val="hybridMultilevel"/>
    <w:lvl w:ilvl="0">
      <w:lvlJc w:val="left"/>
      <w:lvlText w:val="(%1)"/>
      <w:numFmt w:val="lowerLetter"/>
      <w:start w:val="1"/>
    </w:lvl>
  </w:abstractNum>
  <w:abstractNum w:abstractNumId="231">
    <w:nsid w:val="5E963896"/>
    <w:multiLevelType w:val="hybridMultilevel"/>
    <w:lvl w:ilvl="0">
      <w:lvlJc w:val="left"/>
      <w:lvlText w:val="%1"/>
      <w:numFmt w:val="lowerLetter"/>
      <w:start w:val="1"/>
    </w:lvl>
    <w:lvl w:ilvl="1">
      <w:lvlJc w:val="left"/>
      <w:lvlText w:val="(%2)"/>
      <w:numFmt w:val="lowerLetter"/>
      <w:start w:val="1"/>
    </w:lvl>
  </w:abstractNum>
  <w:abstractNum w:abstractNumId="232">
    <w:nsid w:val="775BA7C1"/>
    <w:multiLevelType w:val="hybridMultilevel"/>
    <w:lvl w:ilvl="0">
      <w:lvlJc w:val="left"/>
      <w:lvlText w:val="(%1)"/>
      <w:numFmt w:val="lowerLetter"/>
      <w:start w:val="61"/>
    </w:lvl>
    <w:lvl w:ilvl="1">
      <w:lvlJc w:val="left"/>
      <w:lvlText w:val="(%2)"/>
      <w:numFmt w:val="lowerLetter"/>
      <w:start w:val="2"/>
    </w:lvl>
  </w:abstractNum>
  <w:abstractNum w:abstractNumId="233">
    <w:nsid w:val="1DD6D6F4"/>
    <w:multiLevelType w:val="hybridMultilevel"/>
    <w:lvl w:ilvl="0">
      <w:lvlJc w:val="left"/>
      <w:lvlText w:val="(%1)"/>
      <w:numFmt w:val="lowerLetter"/>
      <w:start w:val="3"/>
    </w:lvl>
    <w:lvl w:ilvl="1">
      <w:lvlJc w:val="left"/>
      <w:lvlText w:val="(%2)"/>
      <w:numFmt w:val="lowerRoman"/>
      <w:start w:val="1"/>
    </w:lvl>
  </w:abstractNum>
  <w:abstractNum w:abstractNumId="234">
    <w:nsid w:val="769A091F"/>
    <w:multiLevelType w:val="hybridMultilevel"/>
    <w:lvl w:ilvl="0">
      <w:lvlJc w:val="left"/>
      <w:lvlText w:val="%1"/>
      <w:numFmt w:val="lowerLetter"/>
      <w:start w:val="1"/>
    </w:lvl>
    <w:lvl w:ilvl="1">
      <w:lvlJc w:val="left"/>
      <w:lvlText w:val="(%2)"/>
      <w:numFmt w:val="lowerLetter"/>
      <w:start w:val="61"/>
    </w:lvl>
  </w:abstractNum>
  <w:abstractNum w:abstractNumId="235">
    <w:nsid w:val="4695AE95"/>
    <w:multiLevelType w:val="hybridMultilevel"/>
    <w:lvl w:ilvl="0">
      <w:lvlJc w:val="left"/>
      <w:lvlText w:val="(%1)"/>
      <w:numFmt w:val="lowerLetter"/>
      <w:start w:val="4"/>
    </w:lvl>
    <w:lvl w:ilvl="1">
      <w:lvlJc w:val="left"/>
      <w:lvlText w:val="%2"/>
      <w:numFmt w:val="lowerLetter"/>
      <w:start w:val="1"/>
    </w:lvl>
  </w:abstractNum>
  <w:abstractNum w:abstractNumId="236">
    <w:nsid w:val="777A4EAA"/>
    <w:multiLevelType w:val="hybridMultilevel"/>
    <w:lvl w:ilvl="0">
      <w:lvlJc w:val="left"/>
      <w:lvlText w:val="(%1)"/>
      <w:numFmt w:val="lowerLetter"/>
      <w:start w:val="1"/>
    </w:lvl>
  </w:abstractNum>
  <w:abstractNum w:abstractNumId="237">
    <w:nsid w:val="3F48B982"/>
    <w:multiLevelType w:val="hybridMultilevel"/>
    <w:lvl w:ilvl="0">
      <w:lvlJc w:val="left"/>
      <w:lvlText w:val="(%1)"/>
      <w:numFmt w:val="lowerLetter"/>
      <w:start w:val="1"/>
    </w:lvl>
    <w:lvl w:ilvl="1">
      <w:lvlJc w:val="left"/>
      <w:lvlText w:val="(%2)"/>
      <w:numFmt w:val="lowerRoman"/>
      <w:start w:val="1"/>
    </w:lvl>
  </w:abstractNum>
  <w:abstractNum w:abstractNumId="238">
    <w:nsid w:val="46BA8FCA"/>
    <w:multiLevelType w:val="hybridMultilevel"/>
    <w:lvl w:ilvl="0">
      <w:lvlJc w:val="left"/>
      <w:lvlText w:val="%1"/>
      <w:numFmt w:val="lowerLetter"/>
      <w:start w:val="1"/>
    </w:lvl>
    <w:lvl w:ilvl="1">
      <w:lvlJc w:val="left"/>
      <w:lvlText w:val="(%2)"/>
      <w:numFmt w:val="lowerRoman"/>
      <w:start w:val="3"/>
    </w:lvl>
  </w:abstractNum>
  <w:abstractNum w:abstractNumId="239">
    <w:nsid w:val="7835626C"/>
    <w:multiLevelType w:val="hybridMultilevel"/>
    <w:lvl w:ilvl="0">
      <w:lvlJc w:val="left"/>
      <w:lvlText w:val="(%1)"/>
      <w:numFmt w:val="lowerLetter"/>
      <w:start w:val="2"/>
    </w:lvl>
    <w:lvl w:ilvl="1">
      <w:lvlJc w:val="left"/>
      <w:lvlText w:val="%2"/>
      <w:numFmt w:val="lowerRoman"/>
      <w:start w:val="1"/>
    </w:lvl>
  </w:abstractNum>
  <w:abstractNum w:abstractNumId="240">
    <w:nsid w:val="665ACA49"/>
    <w:multiLevelType w:val="hybridMultilevel"/>
    <w:lvl w:ilvl="0">
      <w:lvlJc w:val="left"/>
      <w:lvlText w:val="(%1)"/>
      <w:numFmt w:val="lowerLetter"/>
      <w:start w:val="1"/>
    </w:lvl>
  </w:abstractNum>
  <w:abstractNum w:abstractNumId="241">
    <w:nsid w:val="6835B2AE"/>
    <w:multiLevelType w:val="hybridMultilevel"/>
    <w:lvl w:ilvl="0">
      <w:lvlJc w:val="left"/>
      <w:lvlText w:val="(%1)"/>
      <w:numFmt w:val="lowerLetter"/>
      <w:start w:val="4"/>
    </w:lvl>
  </w:abstractNum>
  <w:abstractNum w:abstractNumId="242">
    <w:nsid w:val="4C187C90"/>
    <w:multiLevelType w:val="hybridMultilevel"/>
    <w:lvl w:ilvl="0">
      <w:lvlJc w:val="left"/>
      <w:lvlText w:val="(%1)"/>
      <w:numFmt w:val="lowerLetter"/>
      <w:start w:val="1"/>
    </w:lvl>
    <w:lvl w:ilvl="1">
      <w:lvlJc w:val="left"/>
      <w:lvlText w:val="(%2)"/>
      <w:numFmt w:val="lowerLetter"/>
      <w:start w:val="9"/>
    </w:lvl>
  </w:abstractNum>
  <w:abstractNum w:abstractNumId="243">
    <w:nsid w:val="541F28CD"/>
    <w:multiLevelType w:val="hybridMultilevel"/>
    <w:lvl w:ilvl="0">
      <w:lvlJc w:val="left"/>
      <w:lvlText w:val="(%1)"/>
      <w:numFmt w:val="lowerRoman"/>
      <w:start w:val="2"/>
    </w:lvl>
  </w:abstractNum>
  <w:abstractNum w:abstractNumId="244">
    <w:nsid w:val="7F65FD16"/>
    <w:multiLevelType w:val="hybridMultilevel"/>
    <w:lvl w:ilvl="0">
      <w:lvlJc w:val="left"/>
      <w:lvlText w:val="(%1)"/>
      <w:numFmt w:val="lowerLetter"/>
      <w:start w:val="2"/>
    </w:lvl>
  </w:abstractNum>
  <w:abstractNum w:abstractNumId="245">
    <w:nsid w:val="77C9FD68"/>
    <w:multiLevelType w:val="hybridMultilevel"/>
    <w:lvl w:ilvl="0">
      <w:lvlJc w:val="left"/>
      <w:lvlText w:val="(%1)"/>
      <w:numFmt w:val="lowerLetter"/>
      <w:start w:val="3"/>
    </w:lvl>
  </w:abstractNum>
  <w:abstractNum w:abstractNumId="246">
    <w:nsid w:val="298A92BA"/>
    <w:multiLevelType w:val="hybridMultilevel"/>
    <w:lvl w:ilvl="0">
      <w:lvlJc w:val="left"/>
      <w:lvlText w:val="%1"/>
      <w:numFmt w:val="lowerLetter"/>
      <w:start w:val="1"/>
    </w:lvl>
    <w:lvl w:ilvl="1">
      <w:lvlJc w:val="left"/>
      <w:lvlText w:val="(%2)"/>
      <w:numFmt w:val="lowerLetter"/>
      <w:start w:val="1"/>
    </w:lvl>
  </w:abstractNum>
  <w:abstractNum w:abstractNumId="247">
    <w:nsid w:val="6FE95EAC"/>
    <w:multiLevelType w:val="hybridMultilevel"/>
    <w:lvl w:ilvl="0">
      <w:lvlJc w:val="left"/>
      <w:lvlText w:val="(%1)"/>
      <w:numFmt w:val="lowerLetter"/>
      <w:start w:val="9"/>
    </w:lvl>
    <w:lvl w:ilvl="1">
      <w:lvlJc w:val="left"/>
      <w:lvlText w:val="%2"/>
      <w:numFmt w:val="lowerLetter"/>
      <w:start w:val="1"/>
    </w:lvl>
  </w:abstractNum>
  <w:abstractNum w:abstractNumId="248">
    <w:nsid w:val="4B697C7A"/>
    <w:multiLevelType w:val="hybridMultilevel"/>
    <w:lvl w:ilvl="0">
      <w:lvlJc w:val="left"/>
      <w:lvlText w:val="(%1)"/>
      <w:numFmt w:val="lowerLetter"/>
      <w:start w:val="4"/>
    </w:lvl>
    <w:lvl w:ilvl="1">
      <w:lvlJc w:val="left"/>
      <w:lvlText w:val="(%2)"/>
      <w:numFmt w:val="lowerLetter"/>
      <w:start w:val="3"/>
    </w:lvl>
    <w:lvl w:ilvl="2">
      <w:lvlJc w:val="left"/>
      <w:lvlText w:val="(%3)"/>
      <w:numFmt w:val="lowerLetter"/>
      <w:start w:val="9"/>
    </w:lvl>
  </w:abstractNum>
  <w:abstractNum w:abstractNumId="249">
    <w:nsid w:val="51A27AA6"/>
    <w:multiLevelType w:val="hybridMultilevel"/>
    <w:lvl w:ilvl="0">
      <w:lvlJc w:val="left"/>
      <w:lvlText w:val="(%1)"/>
      <w:numFmt w:val="lowerRoman"/>
      <w:start w:val="2"/>
    </w:lvl>
  </w:abstractNum>
  <w:abstractNum w:abstractNumId="250">
    <w:nsid w:val="613183F2"/>
    <w:multiLevelType w:val="hybridMultilevel"/>
    <w:lvl w:ilvl="0">
      <w:lvlJc w:val="left"/>
      <w:lvlText w:val="(%1)"/>
      <w:numFmt w:val="lowerLetter"/>
      <w:start w:val="1"/>
    </w:lvl>
  </w:abstractNum>
  <w:abstractNum w:abstractNumId="251">
    <w:nsid w:val="634102B4"/>
    <w:multiLevelType w:val="hybridMultilevel"/>
    <w:lvl w:ilvl="0">
      <w:lvlJc w:val="left"/>
      <w:lvlText w:val="(%1)"/>
      <w:numFmt w:val="lowerLetter"/>
      <w:start w:val="3"/>
    </w:lvl>
  </w:abstractNum>
  <w:abstractNum w:abstractNumId="252">
    <w:nsid w:val="65BF9DA8"/>
    <w:multiLevelType w:val="hybridMultilevel"/>
    <w:lvl w:ilvl="0">
      <w:lvlJc w:val="left"/>
      <w:lvlText w:val="(%1)"/>
      <w:numFmt w:val="lowerLetter"/>
      <w:start w:val="5"/>
    </w:lvl>
  </w:abstractNum>
  <w:abstractNum w:abstractNumId="253">
    <w:nsid w:val="21A2ECCA"/>
    <w:multiLevelType w:val="hybridMultilevel"/>
    <w:lvl w:ilvl="0">
      <w:lvlJc w:val="left"/>
      <w:lvlText w:val="(%1)"/>
      <w:numFmt w:val="lowerLetter"/>
      <w:start w:val="1"/>
    </w:lvl>
    <w:lvl w:ilvl="1">
      <w:lvlJc w:val="left"/>
      <w:lvlText w:val="(%2)"/>
      <w:numFmt w:val="lowerRoman"/>
    </w:lvl>
    <w:lvl w:ilvl="2">
      <w:lvlJc w:val="left"/>
      <w:lvlText w:val="(%3)"/>
      <w:numFmt w:val="upperLetter"/>
      <w:start w:val="1"/>
    </w:lvl>
  </w:abstractNum>
  <w:abstractNum w:abstractNumId="254">
    <w:nsid w:val="4D5C4899"/>
    <w:multiLevelType w:val="hybridMultilevel"/>
    <w:lvl w:ilvl="0">
      <w:lvlJc w:val="left"/>
      <w:lvlText w:val="(%1)"/>
      <w:numFmt w:val="upperLetter"/>
      <w:start w:val="1"/>
    </w:lvl>
  </w:abstractNum>
  <w:abstractNum w:abstractNumId="255">
    <w:nsid w:val="3C3B72B2"/>
    <w:multiLevelType w:val="hybridMultilevel"/>
    <w:lvl w:ilvl="0">
      <w:lvlJc w:val="left"/>
      <w:lvlText w:val="%1"/>
      <w:numFmt w:val="lowerLetter"/>
      <w:start w:val="1"/>
    </w:lvl>
    <w:lvl w:ilvl="1">
      <w:lvlJc w:val="left"/>
      <w:lvlText w:val="(%2)"/>
      <w:numFmt w:val="lowerRoman"/>
      <w:start w:val="1"/>
    </w:lvl>
  </w:abstractNum>
  <w:abstractNum w:abstractNumId="256">
    <w:nsid w:val="155EC4C2"/>
    <w:multiLevelType w:val="hybridMultilevel"/>
    <w:lvl w:ilvl="0">
      <w:lvlJc w:val="left"/>
      <w:lvlText w:val="(%1)"/>
      <w:numFmt w:val="lowerLetter"/>
      <w:start w:val="25"/>
    </w:lvl>
    <w:lvl w:ilvl="1">
      <w:lvlJc w:val="left"/>
      <w:lvlText w:val="%2"/>
      <w:numFmt w:val="lowerRoman"/>
      <w:start w:val="1"/>
    </w:lvl>
  </w:abstractNum>
  <w:abstractNum w:abstractNumId="257">
    <w:nsid w:val="65D2A137"/>
    <w:multiLevelType w:val="hybridMultilevel"/>
    <w:lvl w:ilvl="0">
      <w:lvlJc w:val="left"/>
      <w:lvlText w:val="(%1)"/>
      <w:numFmt w:val="lowerLetter"/>
      <w:start w:val="4"/>
    </w:lvl>
    <w:lvl w:ilvl="1">
      <w:lvlJc w:val="left"/>
      <w:lvlText w:val="(%2)"/>
      <w:numFmt w:val="lowerRoman"/>
      <w:start w:val="3"/>
    </w:lvl>
  </w:abstractNum>
  <w:abstractNum w:abstractNumId="258">
    <w:nsid w:val="6EBB1F2A"/>
    <w:multiLevelType w:val="hybridMultilevel"/>
    <w:lvl w:ilvl="0">
      <w:lvlJc w:val="left"/>
      <w:lvlText w:val="(%1)"/>
      <w:numFmt w:val="lowerLetter"/>
      <w:start w:val="3"/>
    </w:lvl>
  </w:abstractNum>
  <w:abstractNum w:abstractNumId="259">
    <w:nsid w:val="6FBF29CB"/>
    <w:multiLevelType w:val="hybridMultilevel"/>
    <w:lvl w:ilvl="0">
      <w:lvlJc w:val="left"/>
      <w:lvlText w:val="(%1)"/>
      <w:numFmt w:val="lowerRoman"/>
      <w:start w:val="1"/>
    </w:lvl>
  </w:abstractNum>
  <w:abstractNum w:abstractNumId="260">
    <w:nsid w:val="550B8808"/>
    <w:multiLevelType w:val="hybridMultilevel"/>
    <w:lvl w:ilvl="0">
      <w:lvlJc w:val="left"/>
      <w:lvlText w:val="(%1)"/>
      <w:numFmt w:val="lowerLetter"/>
      <w:start w:val="4"/>
    </w:lvl>
    <w:lvl w:ilvl="1">
      <w:lvlJc w:val="left"/>
      <w:lvlText w:val="(%2)"/>
      <w:numFmt w:val="lowerRoman"/>
      <w:start w:val="1"/>
    </w:lvl>
  </w:abstractNum>
  <w:abstractNum w:abstractNumId="261">
    <w:nsid w:val="34CC3ACF"/>
    <w:multiLevelType w:val="hybridMultilevel"/>
    <w:lvl w:ilvl="0">
      <w:lvlJc w:val="left"/>
      <w:lvlText w:val="(%1)"/>
      <w:numFmt w:val="lowerRoman"/>
      <w:start w:val="3"/>
    </w:lvl>
  </w:abstractNum>
  <w:abstractNum w:abstractNumId="262">
    <w:nsid w:val="4E556261"/>
    <w:multiLevelType w:val="hybridMultilevel"/>
    <w:lvl w:ilvl="0">
      <w:lvlJc w:val="left"/>
      <w:lvlText w:val="(%1)"/>
      <w:numFmt w:val="lowerLetter"/>
      <w:start w:val="1"/>
    </w:lvl>
  </w:abstractNum>
  <w:abstractNum w:abstractNumId="263">
    <w:nsid w:val="4C672FC9"/>
    <w:multiLevelType w:val="hybridMultilevel"/>
    <w:lvl w:ilvl="0">
      <w:lvlJc w:val="left"/>
      <w:lvlText w:val="(%1)"/>
      <w:numFmt w:val="lowerLetter"/>
      <w:start w:val="1"/>
    </w:lvl>
  </w:abstractNum>
  <w:abstractNum w:abstractNumId="264">
    <w:nsid w:val="52A311C3"/>
    <w:multiLevelType w:val="hybridMultilevel"/>
    <w:lvl w:ilvl="0">
      <w:lvlJc w:val="left"/>
      <w:lvlText w:val="(%1)"/>
      <w:numFmt w:val="lowerLetter"/>
      <w:start w:val="5"/>
    </w:lvl>
  </w:abstractNum>
  <w:abstractNum w:abstractNumId="265">
    <w:nsid w:val="44EF6B80"/>
    <w:multiLevelType w:val="hybridMultilevel"/>
    <w:lvl w:ilvl="0">
      <w:lvlJc w:val="left"/>
      <w:lvlText w:val="(%1)"/>
      <w:numFmt w:val="lowerLetter"/>
      <w:start w:val="1"/>
    </w:lvl>
    <w:lvl w:ilvl="1">
      <w:lvlJc w:val="left"/>
      <w:lvlText w:val="(%2)"/>
      <w:numFmt w:val="lowerRoman"/>
      <w:start w:val="1"/>
    </w:lvl>
  </w:abstractNum>
  <w:abstractNum w:abstractNumId="266">
    <w:nsid w:val="12FCDE5E"/>
    <w:multiLevelType w:val="hybridMultilevel"/>
    <w:lvl w:ilvl="0">
      <w:lvlJc w:val="left"/>
      <w:lvlText w:val="(%1)"/>
      <w:numFmt w:val="lowerLetter"/>
      <w:start w:val="1"/>
    </w:lvl>
  </w:abstractNum>
  <w:abstractNum w:abstractNumId="267">
    <w:nsid w:val="4A1D606E"/>
    <w:multiLevelType w:val="hybridMultilevel"/>
    <w:lvl w:ilvl="0">
      <w:lvlJc w:val="left"/>
      <w:lvlText w:val="(%1)"/>
      <w:numFmt w:val="lowerLetter"/>
      <w:start w:val="2"/>
    </w:lvl>
  </w:abstractNum>
  <w:abstractNum w:abstractNumId="268">
    <w:nsid w:val="4382503"/>
    <w:multiLevelType w:val="hybridMultilevel"/>
    <w:lvl w:ilvl="0">
      <w:lvlJc w:val="left"/>
      <w:lvlText w:val="(%1)"/>
      <w:numFmt w:val="lowerLetter"/>
      <w:start w:val="1"/>
    </w:lvl>
  </w:abstractNum>
  <w:abstractNum w:abstractNumId="269">
    <w:nsid w:val="59B76E28"/>
    <w:multiLevelType w:val="hybridMultilevel"/>
    <w:lvl w:ilvl="0">
      <w:lvlJc w:val="left"/>
      <w:lvlText w:val="(%1)"/>
      <w:numFmt w:val="lowerLetter"/>
      <w:start w:val="3"/>
    </w:lvl>
  </w:abstractNum>
  <w:abstractNum w:abstractNumId="270">
    <w:nsid w:val="4252C2DA"/>
    <w:multiLevelType w:val="hybridMultilevel"/>
    <w:lvl w:ilvl="0">
      <w:lvlJc w:val="left"/>
      <w:lvlText w:val="(%1)"/>
      <w:numFmt w:val="lowerLetter"/>
      <w:start w:val="1"/>
    </w:lvl>
  </w:abstractNum>
  <w:abstractNum w:abstractNumId="271">
    <w:nsid w:val="6A92EF4C"/>
    <w:multiLevelType w:val="hybridMultilevel"/>
    <w:lvl w:ilvl="0">
      <w:lvlJc w:val="left"/>
      <w:lvlText w:val="%1."/>
      <w:numFmt w:val="decimal"/>
      <w:start w:val="1"/>
    </w:lvl>
    <w:lvl w:ilvl="1">
      <w:lvlJc w:val="left"/>
      <w:lvlText w:val="%2)"/>
      <w:numFmt w:val="lowerLetter"/>
      <w:start w:val="1"/>
    </w:lvl>
  </w:abstractNum>
  <w:abstractNum w:abstractNumId="272">
    <w:nsid w:val="41ED20D7"/>
    <w:multiLevelType w:val="hybridMultilevel"/>
    <w:lvl w:ilvl="0">
      <w:lvlJc w:val="left"/>
      <w:lvlText w:val="%1."/>
      <w:numFmt w:val="decimal"/>
      <w:start w:val="5"/>
    </w:lvl>
    <w:lvl w:ilvl="1">
      <w:lvlJc w:val="left"/>
      <w:lvlText w:val="%2)"/>
      <w:numFmt w:val="lowerLetter"/>
      <w:start w:val="1"/>
    </w:lvl>
  </w:abstractNum>
  <w:abstractNum w:abstractNumId="273">
    <w:nsid w:val="E6B3F6A"/>
    <w:multiLevelType w:val="hybridMultilevel"/>
    <w:lvl w:ilvl="0">
      <w:lvlJc w:val="left"/>
      <w:lvlText w:val="%1."/>
      <w:numFmt w:val="decimal"/>
      <w:start w:val="1"/>
    </w:lvl>
    <w:lvl w:ilvl="1">
      <w:lvlJc w:val="left"/>
      <w:lvlText w:val="%2)"/>
      <w:numFmt w:val="lowerLetter"/>
      <w:start w:val="1"/>
    </w:lvl>
  </w:abstractNum>
  <w:abstractNum w:abstractNumId="274">
    <w:nsid w:val="3EB21819"/>
    <w:multiLevelType w:val="hybridMultilevel"/>
    <w:lvl w:ilvl="0">
      <w:lvlJc w:val="left"/>
      <w:lvlText w:val="%1."/>
      <w:numFmt w:val="decimal"/>
      <w:start w:val="5"/>
    </w:lvl>
    <w:lvl w:ilvl="1">
      <w:lvlJc w:val="left"/>
      <w:lvlText w:val="%2)"/>
      <w:numFmt w:val="lowerLetter"/>
      <w:start w:val="1"/>
    </w:lvl>
  </w:abstractNum>
  <w:abstractNum w:abstractNumId="275">
    <w:nsid w:val="41531DED"/>
    <w:multiLevelType w:val="hybridMultilevel"/>
    <w:lvl w:ilvl="0">
      <w:lvlJc w:val="left"/>
      <w:lvlText w:val="%1."/>
      <w:numFmt w:val="decimal"/>
      <w:start w:val="1"/>
    </w:lvl>
  </w:abstractNum>
  <w:abstractNum w:abstractNumId="276">
    <w:nsid w:val="6353CD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101" Type="http://schemas.openxmlformats.org/officeDocument/2006/relationships/hyperlink" Target="https://www.sec.gov/Archives/edgar/data/1840776/000119312526389275/d71458dex11.htm" TargetMode="External"/><Relationship Id="rId102" Type="http://schemas.openxmlformats.org/officeDocument/2006/relationships/hyperlink" Target="https://www.sec.gov/Archives/edgar/data/1840776/000110465921107195/tm2125307d1_ex2-1.htm" TargetMode="External"/><Relationship Id="rId103" Type="http://schemas.openxmlformats.org/officeDocument/2006/relationships/hyperlink" Target="https://www.sec.gov/Archives/edgar/data/1840776/000162828023001336/exhibit31-posam3.htm" TargetMode="External"/><Relationship Id="rId104" Type="http://schemas.openxmlformats.org/officeDocument/2006/relationships/hyperlink" Target="https://www.sec.gov/Archives/edgar/data/1840776/000110465921147678/tm2133671d1_ex3-2.htm" TargetMode="External"/><Relationship Id="rId105" Type="http://schemas.openxmlformats.org/officeDocument/2006/relationships/hyperlink" Target="https://www.sec.gov/Archives/edgar/data/1840776/000184077623000126/hagerty-certificateofdesig.htm" TargetMode="External"/><Relationship Id="rId106" Type="http://schemas.openxmlformats.org/officeDocument/2006/relationships/hyperlink" Target="https://www.sec.gov/Archives/edgar/data/1840776/000162828026048668/a101-executiveseveranceand.htm" TargetMode="External"/><Relationship Id="rId107" Type="http://schemas.openxmlformats.org/officeDocument/2006/relationships/hyperlink" Target="https://www.sec.gov/Archives/edgar/data/1840776/000162828026048668/a102-participationagreement.htm" TargetMode="External"/><Relationship Id="rId108" Type="http://schemas.openxmlformats.org/officeDocument/2006/relationships/hyperlink" Target="https://www.sec.gov/Archives/edgar/data/1840776/000162828026048668/a103-executiveemploymentag.htm" TargetMode="External"/><Relationship Id="rId109" Type="http://schemas.openxmlformats.org/officeDocument/2006/relationships/hyperlink" Target="https://www.sec.gov/Archives/edgar/data/1840776/000162828026048668/a104-aremploymentagreement.htm" TargetMode="External"/><Relationship Id="rId110" Type="http://schemas.openxmlformats.org/officeDocument/2006/relationships/hyperlink" Target="https://www.sec.gov/Archives/edgar/data/1840776/000162828026048668/a105-aremploymentagreement.htm" TargetMode="External"/><Relationship Id="rId111" Type="http://schemas.openxmlformats.org/officeDocument/2006/relationships/hyperlink" Target="https://www.sec.gov/Archives/edgar/data/1840776/000162828026048668/a106-aremploymentagreement.htm" TargetMode="External"/><Relationship Id="rId112" Type="http://schemas.openxmlformats.org/officeDocument/2006/relationships/hyperlink" Target="https://www.sec.gov/Archives/edgar/data/1840776/000162828026048668/a107-aremploy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2026-11-03T09:58:24Z</dcterms:created>
  <dcterms:modified xsi:type="dcterms:W3CDTF">2026-11-03T09:58:24Z</dcterms:modified>
</cp:coreProperties>
</file>